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49130" w14:textId="421500A1" w:rsidR="00B51408" w:rsidRPr="00CA64FD" w:rsidRDefault="00B51408">
      <w:pPr>
        <w:rPr>
          <w:rFonts w:cstheme="minorHAnsi"/>
          <w:b/>
          <w:bCs/>
        </w:rPr>
      </w:pPr>
      <w:r w:rsidRPr="00CA64FD">
        <w:rPr>
          <w:rFonts w:cstheme="minorHAnsi"/>
          <w:b/>
          <w:bCs/>
        </w:rPr>
        <w:t>Apex Goal Task force on Target 1</w:t>
      </w:r>
      <w:r w:rsidR="0013362C" w:rsidRPr="00CA64FD">
        <w:rPr>
          <w:rStyle w:val="FootnoteReference"/>
          <w:rFonts w:cstheme="minorHAnsi"/>
          <w:b/>
          <w:bCs/>
        </w:rPr>
        <w:footnoteReference w:id="1"/>
      </w:r>
      <w:r w:rsidRPr="00CA64FD">
        <w:rPr>
          <w:rFonts w:cstheme="minorHAnsi"/>
          <w:b/>
          <w:bCs/>
        </w:rPr>
        <w:t xml:space="preserve"> “no net loss/net gain” </w:t>
      </w:r>
      <w:r w:rsidR="00FC4DB4" w:rsidRPr="00CA64FD">
        <w:rPr>
          <w:rFonts w:cstheme="minorHAnsi"/>
          <w:b/>
          <w:bCs/>
        </w:rPr>
        <w:t xml:space="preserve">meaning </w:t>
      </w:r>
      <w:r w:rsidRPr="00CA64FD">
        <w:rPr>
          <w:rFonts w:cstheme="minorHAnsi"/>
          <w:b/>
          <w:bCs/>
        </w:rPr>
        <w:t xml:space="preserve">and </w:t>
      </w:r>
      <w:r w:rsidR="00FC4DB4" w:rsidRPr="00CA64FD">
        <w:rPr>
          <w:rFonts w:cstheme="minorHAnsi"/>
          <w:b/>
          <w:bCs/>
        </w:rPr>
        <w:t>principles</w:t>
      </w:r>
    </w:p>
    <w:p w14:paraId="247EB93C" w14:textId="77777777" w:rsidR="00B51408" w:rsidRPr="00CA64FD" w:rsidRDefault="00B51408">
      <w:pPr>
        <w:rPr>
          <w:rFonts w:cstheme="minorHAnsi"/>
        </w:rPr>
      </w:pPr>
    </w:p>
    <w:p w14:paraId="30F2F1F2" w14:textId="56A8DE59" w:rsidR="00B51408" w:rsidRPr="00CA64FD" w:rsidRDefault="00B51408" w:rsidP="008C0A87">
      <w:pPr>
        <w:spacing w:after="120"/>
        <w:rPr>
          <w:rFonts w:cstheme="minorHAnsi"/>
        </w:rPr>
      </w:pPr>
      <w:r w:rsidRPr="00CA64FD">
        <w:rPr>
          <w:rFonts w:cstheme="minorHAnsi"/>
          <w:i/>
          <w:iCs/>
        </w:rPr>
        <w:t>Why we need “net” in the target</w:t>
      </w:r>
      <w:r w:rsidR="00806C1D" w:rsidRPr="00CA64FD">
        <w:rPr>
          <w:rFonts w:cstheme="minorHAnsi"/>
          <w:i/>
          <w:iCs/>
        </w:rPr>
        <w:t xml:space="preserve"> </w:t>
      </w:r>
    </w:p>
    <w:p w14:paraId="11BF4EBC" w14:textId="2594F548" w:rsidR="005B5781" w:rsidRPr="00CA64FD" w:rsidRDefault="00C1539E" w:rsidP="00CA64FD">
      <w:pPr>
        <w:spacing w:after="160"/>
        <w:rPr>
          <w:rFonts w:cstheme="minorHAnsi"/>
        </w:rPr>
      </w:pPr>
      <w:r w:rsidRPr="00CA64FD">
        <w:rPr>
          <w:rFonts w:cstheme="minorHAnsi"/>
        </w:rPr>
        <w:t xml:space="preserve">The Global Biodiversity Framework must “protect the best and improve the rest.” The highest conservation value areas need to be </w:t>
      </w:r>
      <w:r w:rsidR="00896F11" w:rsidRPr="00CA64FD">
        <w:rPr>
          <w:rFonts w:cstheme="minorHAnsi"/>
        </w:rPr>
        <w:t xml:space="preserve">safeguarded </w:t>
      </w:r>
      <w:r w:rsidRPr="00CA64FD">
        <w:rPr>
          <w:rFonts w:cstheme="minorHAnsi"/>
        </w:rPr>
        <w:t>against any further degradation or conversion</w:t>
      </w:r>
      <w:r w:rsidR="00E639FE" w:rsidRPr="00CA64FD">
        <w:rPr>
          <w:rFonts w:cstheme="minorHAnsi"/>
        </w:rPr>
        <w:t>. The s</w:t>
      </w:r>
      <w:r w:rsidRPr="00CA64FD">
        <w:rPr>
          <w:rFonts w:cstheme="minorHAnsi"/>
        </w:rPr>
        <w:t xml:space="preserve">cience suggests a </w:t>
      </w:r>
      <w:r w:rsidRPr="00CA64FD">
        <w:rPr>
          <w:rFonts w:cstheme="minorHAnsi"/>
          <w:b/>
          <w:bCs/>
        </w:rPr>
        <w:t>minimum</w:t>
      </w:r>
      <w:r w:rsidRPr="00CA64FD">
        <w:rPr>
          <w:rFonts w:cstheme="minorHAnsi"/>
        </w:rPr>
        <w:t xml:space="preserve"> </w:t>
      </w:r>
      <w:r w:rsidR="005D0EE3" w:rsidRPr="00CA64FD">
        <w:rPr>
          <w:rFonts w:cstheme="minorHAnsi"/>
        </w:rPr>
        <w:t xml:space="preserve">level of </w:t>
      </w:r>
      <w:r w:rsidR="006E51AB">
        <w:rPr>
          <w:rFonts w:cstheme="minorHAnsi"/>
        </w:rPr>
        <w:t>secured natural habitat</w:t>
      </w:r>
      <w:r w:rsidR="005B5781" w:rsidRPr="00CA64FD">
        <w:rPr>
          <w:rFonts w:cstheme="minorHAnsi"/>
        </w:rPr>
        <w:t xml:space="preserve"> </w:t>
      </w:r>
      <w:r w:rsidRPr="00CA64FD">
        <w:rPr>
          <w:rFonts w:cstheme="minorHAnsi"/>
        </w:rPr>
        <w:t xml:space="preserve">to </w:t>
      </w:r>
      <w:r w:rsidR="00896F11" w:rsidRPr="00CA64FD">
        <w:rPr>
          <w:rFonts w:cstheme="minorHAnsi"/>
        </w:rPr>
        <w:t xml:space="preserve">help prevent </w:t>
      </w:r>
      <w:r w:rsidRPr="00CA64FD">
        <w:rPr>
          <w:rFonts w:cstheme="minorHAnsi"/>
        </w:rPr>
        <w:t xml:space="preserve">biodiversity loss that is somewhere between 30% (as proposed in the Zero/.5 Drafts) and </w:t>
      </w:r>
      <w:r w:rsidR="00C920BD" w:rsidRPr="00CA64FD">
        <w:rPr>
          <w:rFonts w:cstheme="minorHAnsi"/>
        </w:rPr>
        <w:t>7</w:t>
      </w:r>
      <w:r w:rsidRPr="00CA64FD">
        <w:rPr>
          <w:rFonts w:cstheme="minorHAnsi"/>
        </w:rPr>
        <w:t xml:space="preserve">0% of </w:t>
      </w:r>
      <w:r w:rsidR="005D0EE3" w:rsidRPr="00CA64FD">
        <w:rPr>
          <w:rFonts w:cstheme="minorHAnsi"/>
        </w:rPr>
        <w:t xml:space="preserve">the </w:t>
      </w:r>
      <w:r w:rsidR="0030174D" w:rsidRPr="00CA64FD">
        <w:rPr>
          <w:rFonts w:cstheme="minorHAnsi"/>
        </w:rPr>
        <w:t>planet</w:t>
      </w:r>
      <w:r w:rsidR="00C920BD" w:rsidRPr="00CA64FD">
        <w:rPr>
          <w:rFonts w:cstheme="minorHAnsi"/>
        </w:rPr>
        <w:t>.</w:t>
      </w:r>
      <w:r w:rsidR="00DE0543" w:rsidRPr="00CA64FD">
        <w:rPr>
          <w:rStyle w:val="EndnoteReference"/>
          <w:rFonts w:cstheme="minorHAnsi"/>
        </w:rPr>
        <w:endnoteReference w:id="1"/>
      </w:r>
      <w:r w:rsidR="00D66EF3" w:rsidRPr="00CA64FD">
        <w:rPr>
          <w:rFonts w:cstheme="minorHAnsi"/>
          <w:vertAlign w:val="superscript"/>
        </w:rPr>
        <w:t>,</w:t>
      </w:r>
      <w:r w:rsidR="00DE0543" w:rsidRPr="00CA64FD">
        <w:rPr>
          <w:rStyle w:val="EndnoteReference"/>
          <w:rFonts w:cstheme="minorHAnsi"/>
        </w:rPr>
        <w:endnoteReference w:id="2"/>
      </w:r>
      <w:r w:rsidR="00D66EF3" w:rsidRPr="00CA64FD">
        <w:rPr>
          <w:rFonts w:cstheme="minorHAnsi"/>
          <w:vertAlign w:val="superscript"/>
        </w:rPr>
        <w:t xml:space="preserve">, </w:t>
      </w:r>
      <w:r w:rsidR="00D66EF3" w:rsidRPr="00CA64FD">
        <w:rPr>
          <w:rStyle w:val="EndnoteReference"/>
          <w:rFonts w:cstheme="minorHAnsi"/>
        </w:rPr>
        <w:endnoteReference w:id="3"/>
      </w:r>
      <w:r w:rsidR="00D66EF3" w:rsidRPr="00CA64FD">
        <w:rPr>
          <w:rFonts w:cstheme="minorHAnsi"/>
          <w:vertAlign w:val="superscript"/>
        </w:rPr>
        <w:t xml:space="preserve">, </w:t>
      </w:r>
      <w:r w:rsidR="00D66EF3" w:rsidRPr="00CA64FD">
        <w:rPr>
          <w:rStyle w:val="EndnoteReference"/>
          <w:rFonts w:cstheme="minorHAnsi"/>
        </w:rPr>
        <w:endnoteReference w:id="4"/>
      </w:r>
      <w:r w:rsidR="00DE0543" w:rsidRPr="00CA64FD">
        <w:rPr>
          <w:rFonts w:cstheme="minorHAnsi"/>
        </w:rPr>
        <w:t xml:space="preserve"> </w:t>
      </w:r>
      <w:r w:rsidR="00AB5DEB" w:rsidRPr="00CA64FD">
        <w:rPr>
          <w:rFonts w:cstheme="minorHAnsi"/>
        </w:rPr>
        <w:t>All</w:t>
      </w:r>
      <w:r w:rsidR="0071508F" w:rsidRPr="00CA64FD">
        <w:rPr>
          <w:rFonts w:cstheme="minorHAnsi"/>
        </w:rPr>
        <w:t xml:space="preserve"> ecosystems </w:t>
      </w:r>
      <w:r w:rsidR="00AB5DEB" w:rsidRPr="00CA64FD">
        <w:rPr>
          <w:rFonts w:cstheme="minorHAnsi"/>
        </w:rPr>
        <w:t>have unique</w:t>
      </w:r>
      <w:r w:rsidR="005D0EE3" w:rsidRPr="00CA64FD">
        <w:rPr>
          <w:rFonts w:cstheme="minorHAnsi"/>
        </w:rPr>
        <w:t xml:space="preserve"> </w:t>
      </w:r>
      <w:r w:rsidR="0071508F" w:rsidRPr="00CA64FD">
        <w:rPr>
          <w:rFonts w:cstheme="minorHAnsi"/>
        </w:rPr>
        <w:t xml:space="preserve">features </w:t>
      </w:r>
      <w:r w:rsidR="005E4FFC" w:rsidRPr="00CA64FD">
        <w:rPr>
          <w:rFonts w:cstheme="minorHAnsi"/>
        </w:rPr>
        <w:t xml:space="preserve">that </w:t>
      </w:r>
      <w:r w:rsidR="0071508F" w:rsidRPr="00CA64FD">
        <w:rPr>
          <w:rFonts w:cstheme="minorHAnsi"/>
        </w:rPr>
        <w:t>are not fungible or replaceable; protection will always be the bedrock of biodiversity conservation.</w:t>
      </w:r>
    </w:p>
    <w:p w14:paraId="79AE613D" w14:textId="75D9BC8F" w:rsidR="00AF7766" w:rsidRPr="00CA64FD" w:rsidRDefault="005B5781" w:rsidP="00CA64FD">
      <w:pPr>
        <w:spacing w:after="160"/>
        <w:rPr>
          <w:rFonts w:cstheme="minorHAnsi"/>
        </w:rPr>
      </w:pPr>
      <w:r w:rsidRPr="00CA64FD">
        <w:rPr>
          <w:rFonts w:cstheme="minorHAnsi"/>
        </w:rPr>
        <w:t xml:space="preserve">This does not mean that </w:t>
      </w:r>
      <w:r w:rsidR="005D0EE3" w:rsidRPr="00CA64FD">
        <w:rPr>
          <w:rFonts w:cstheme="minorHAnsi"/>
        </w:rPr>
        <w:t xml:space="preserve">all </w:t>
      </w:r>
      <w:r w:rsidRPr="00CA64FD">
        <w:rPr>
          <w:rFonts w:cstheme="minorHAnsi"/>
        </w:rPr>
        <w:t xml:space="preserve">areas </w:t>
      </w:r>
      <w:r w:rsidR="00AE10A7" w:rsidRPr="00CA64FD">
        <w:rPr>
          <w:rFonts w:cstheme="minorHAnsi"/>
        </w:rPr>
        <w:t xml:space="preserve">that are not under some </w:t>
      </w:r>
      <w:r w:rsidR="00FC6CFA" w:rsidRPr="00CA64FD">
        <w:rPr>
          <w:rFonts w:cstheme="minorHAnsi"/>
        </w:rPr>
        <w:t>form</w:t>
      </w:r>
      <w:r w:rsidR="00AE10A7" w:rsidRPr="00CA64FD">
        <w:rPr>
          <w:rFonts w:cstheme="minorHAnsi"/>
        </w:rPr>
        <w:t xml:space="preserve"> of legal protection </w:t>
      </w:r>
      <w:r w:rsidRPr="00CA64FD">
        <w:rPr>
          <w:rFonts w:cstheme="minorHAnsi"/>
        </w:rPr>
        <w:t xml:space="preserve">can </w:t>
      </w:r>
      <w:r w:rsidR="00AE10A7" w:rsidRPr="00CA64FD">
        <w:rPr>
          <w:rFonts w:cstheme="minorHAnsi"/>
        </w:rPr>
        <w:t xml:space="preserve">or should </w:t>
      </w:r>
      <w:r w:rsidRPr="00CA64FD">
        <w:rPr>
          <w:rFonts w:cstheme="minorHAnsi"/>
        </w:rPr>
        <w:t>be</w:t>
      </w:r>
      <w:r w:rsidR="005D0EE3" w:rsidRPr="00CA64FD">
        <w:rPr>
          <w:rFonts w:cstheme="minorHAnsi"/>
        </w:rPr>
        <w:t xml:space="preserve"> converted </w:t>
      </w:r>
      <w:r w:rsidR="0063433C" w:rsidRPr="00CA64FD">
        <w:rPr>
          <w:rFonts w:cstheme="minorHAnsi"/>
        </w:rPr>
        <w:t xml:space="preserve">or exploited </w:t>
      </w:r>
      <w:r w:rsidR="005D0EE3" w:rsidRPr="00CA64FD">
        <w:rPr>
          <w:rFonts w:cstheme="minorHAnsi"/>
        </w:rPr>
        <w:t>for human use</w:t>
      </w:r>
      <w:r w:rsidRPr="00CA64FD">
        <w:rPr>
          <w:rFonts w:cstheme="minorHAnsi"/>
        </w:rPr>
        <w:t xml:space="preserve">. Indeed, we have already lost too much nature and </w:t>
      </w:r>
      <w:r w:rsidR="005D0EE3" w:rsidRPr="00CA64FD">
        <w:rPr>
          <w:rFonts w:cstheme="minorHAnsi"/>
        </w:rPr>
        <w:t xml:space="preserve">urgently </w:t>
      </w:r>
      <w:r w:rsidRPr="00CA64FD">
        <w:rPr>
          <w:rFonts w:cstheme="minorHAnsi"/>
        </w:rPr>
        <w:t xml:space="preserve">need to restore </w:t>
      </w:r>
      <w:r w:rsidR="0071508F" w:rsidRPr="00CA64FD">
        <w:rPr>
          <w:rFonts w:cstheme="minorHAnsi"/>
        </w:rPr>
        <w:t xml:space="preserve">many </w:t>
      </w:r>
      <w:r w:rsidRPr="00CA64FD">
        <w:rPr>
          <w:rFonts w:cstheme="minorHAnsi"/>
        </w:rPr>
        <w:t>ecosystems</w:t>
      </w:r>
      <w:r w:rsidR="005D0EE3" w:rsidRPr="00CA64FD">
        <w:rPr>
          <w:rFonts w:cstheme="minorHAnsi"/>
        </w:rPr>
        <w:t>,</w:t>
      </w:r>
      <w:r w:rsidRPr="00CA64FD">
        <w:rPr>
          <w:rFonts w:cstheme="minorHAnsi"/>
        </w:rPr>
        <w:t xml:space="preserve"> both </w:t>
      </w:r>
      <w:r w:rsidR="005D0EE3" w:rsidRPr="00CA64FD">
        <w:rPr>
          <w:rFonts w:cstheme="minorHAnsi"/>
        </w:rPr>
        <w:t xml:space="preserve">to conserve </w:t>
      </w:r>
      <w:r w:rsidRPr="00CA64FD">
        <w:rPr>
          <w:rFonts w:cstheme="minorHAnsi"/>
        </w:rPr>
        <w:t xml:space="preserve">biodiversity and </w:t>
      </w:r>
      <w:r w:rsidR="005D0EE3" w:rsidRPr="00CA64FD">
        <w:rPr>
          <w:rFonts w:cstheme="minorHAnsi"/>
        </w:rPr>
        <w:t xml:space="preserve">stabilize </w:t>
      </w:r>
      <w:r w:rsidRPr="00CA64FD">
        <w:rPr>
          <w:rFonts w:cstheme="minorHAnsi"/>
        </w:rPr>
        <w:t xml:space="preserve">climate. </w:t>
      </w:r>
      <w:r w:rsidR="001449EF" w:rsidRPr="00CA64FD">
        <w:rPr>
          <w:rFonts w:cstheme="minorHAnsi"/>
        </w:rPr>
        <w:t>Further</w:t>
      </w:r>
      <w:r w:rsidR="0071508F" w:rsidRPr="00CA64FD">
        <w:rPr>
          <w:rFonts w:cstheme="minorHAnsi"/>
        </w:rPr>
        <w:t>, e</w:t>
      </w:r>
      <w:r w:rsidR="00806C1D" w:rsidRPr="00CA64FD">
        <w:rPr>
          <w:rFonts w:cstheme="minorHAnsi"/>
        </w:rPr>
        <w:t xml:space="preserve">ach year, millions of hectares </w:t>
      </w:r>
      <w:r w:rsidR="005D0EE3" w:rsidRPr="00CA64FD">
        <w:rPr>
          <w:rFonts w:cstheme="minorHAnsi"/>
        </w:rPr>
        <w:t xml:space="preserve">of </w:t>
      </w:r>
      <w:r w:rsidR="00806C1D" w:rsidRPr="00CA64FD">
        <w:rPr>
          <w:rFonts w:cstheme="minorHAnsi"/>
        </w:rPr>
        <w:t xml:space="preserve">natural habitat are </w:t>
      </w:r>
      <w:r w:rsidR="00251330" w:rsidRPr="00CA64FD">
        <w:rPr>
          <w:rFonts w:cstheme="minorHAnsi"/>
        </w:rPr>
        <w:t xml:space="preserve">degraded or </w:t>
      </w:r>
      <w:r w:rsidR="00EE3FEE" w:rsidRPr="00CA64FD">
        <w:rPr>
          <w:rFonts w:cstheme="minorHAnsi"/>
        </w:rPr>
        <w:t xml:space="preserve">converted </w:t>
      </w:r>
      <w:r w:rsidR="00CC4221" w:rsidRPr="00CA64FD">
        <w:rPr>
          <w:rFonts w:cstheme="minorHAnsi"/>
        </w:rPr>
        <w:t>in the name of ‘</w:t>
      </w:r>
      <w:r w:rsidR="00806C1D" w:rsidRPr="00CA64FD">
        <w:rPr>
          <w:rFonts w:cstheme="minorHAnsi"/>
        </w:rPr>
        <w:t>development</w:t>
      </w:r>
      <w:r w:rsidR="00CC4221" w:rsidRPr="00CA64FD">
        <w:rPr>
          <w:rFonts w:cstheme="minorHAnsi"/>
        </w:rPr>
        <w:t>’</w:t>
      </w:r>
      <w:r w:rsidR="0063433C" w:rsidRPr="00CA64FD">
        <w:rPr>
          <w:rFonts w:cstheme="minorHAnsi"/>
        </w:rPr>
        <w:t>, while extraction of marine resources is growing unsustainably.</w:t>
      </w:r>
      <w:r w:rsidR="00295EA1" w:rsidRPr="00CA64FD">
        <w:rPr>
          <w:rStyle w:val="EndnoteReference"/>
          <w:rFonts w:cstheme="minorHAnsi"/>
        </w:rPr>
        <w:endnoteReference w:id="5"/>
      </w:r>
      <w:r w:rsidR="00806C1D" w:rsidRPr="00CA64FD">
        <w:rPr>
          <w:rFonts w:cstheme="minorHAnsi"/>
        </w:rPr>
        <w:t xml:space="preserve"> </w:t>
      </w:r>
      <w:r w:rsidR="00AF7766" w:rsidRPr="00CA64FD">
        <w:rPr>
          <w:rFonts w:cstheme="minorHAnsi"/>
        </w:rPr>
        <w:t xml:space="preserve">Well over 90% of </w:t>
      </w:r>
      <w:r w:rsidR="00EE3FEE" w:rsidRPr="00CA64FD">
        <w:rPr>
          <w:rFonts w:cstheme="minorHAnsi"/>
        </w:rPr>
        <w:t xml:space="preserve">the </w:t>
      </w:r>
      <w:r w:rsidR="00CC4221" w:rsidRPr="00CA64FD">
        <w:rPr>
          <w:rFonts w:cstheme="minorHAnsi"/>
        </w:rPr>
        <w:t xml:space="preserve">resulting </w:t>
      </w:r>
      <w:r w:rsidR="00AF7766" w:rsidRPr="00CA64FD">
        <w:rPr>
          <w:rFonts w:cstheme="minorHAnsi"/>
        </w:rPr>
        <w:t xml:space="preserve">impact </w:t>
      </w:r>
      <w:r w:rsidR="00CC4221" w:rsidRPr="00CA64FD">
        <w:rPr>
          <w:rFonts w:cstheme="minorHAnsi"/>
        </w:rPr>
        <w:t xml:space="preserve">on </w:t>
      </w:r>
      <w:r w:rsidR="00AF7766" w:rsidRPr="00CA64FD">
        <w:rPr>
          <w:rFonts w:cstheme="minorHAnsi"/>
        </w:rPr>
        <w:t xml:space="preserve">natural habitat is </w:t>
      </w:r>
      <w:r w:rsidR="00CC4221" w:rsidRPr="00CA64FD">
        <w:rPr>
          <w:rFonts w:cstheme="minorHAnsi"/>
        </w:rPr>
        <w:t>un</w:t>
      </w:r>
      <w:r w:rsidR="00AF7766" w:rsidRPr="00CA64FD">
        <w:rPr>
          <w:rFonts w:cstheme="minorHAnsi"/>
        </w:rPr>
        <w:t xml:space="preserve">compensated, meaning </w:t>
      </w:r>
      <w:r w:rsidR="00CC4221" w:rsidRPr="00CA64FD">
        <w:rPr>
          <w:rFonts w:cstheme="minorHAnsi"/>
        </w:rPr>
        <w:t xml:space="preserve">that </w:t>
      </w:r>
      <w:r w:rsidR="00AF7766" w:rsidRPr="00CA64FD">
        <w:rPr>
          <w:rFonts w:cstheme="minorHAnsi"/>
        </w:rPr>
        <w:t xml:space="preserve">nature </w:t>
      </w:r>
      <w:r w:rsidR="00EE3FEE" w:rsidRPr="00CA64FD">
        <w:rPr>
          <w:rFonts w:cstheme="minorHAnsi"/>
        </w:rPr>
        <w:t xml:space="preserve">effectively </w:t>
      </w:r>
      <w:r w:rsidR="00AF7766" w:rsidRPr="00CA64FD">
        <w:rPr>
          <w:rFonts w:cstheme="minorHAnsi"/>
        </w:rPr>
        <w:t xml:space="preserve">subsidizes </w:t>
      </w:r>
      <w:r w:rsidR="00251330" w:rsidRPr="00CA64FD">
        <w:rPr>
          <w:rFonts w:cstheme="minorHAnsi"/>
        </w:rPr>
        <w:t>economic activity</w:t>
      </w:r>
      <w:r w:rsidR="00EE3FEE" w:rsidRPr="00CA64FD">
        <w:rPr>
          <w:rFonts w:cstheme="minorHAnsi"/>
        </w:rPr>
        <w:t xml:space="preserve"> and </w:t>
      </w:r>
      <w:r w:rsidR="00CC4221" w:rsidRPr="00CA64FD">
        <w:rPr>
          <w:rFonts w:cstheme="minorHAnsi"/>
        </w:rPr>
        <w:t xml:space="preserve">room for wildlife </w:t>
      </w:r>
      <w:r w:rsidR="00EE3FEE" w:rsidRPr="00CA64FD">
        <w:rPr>
          <w:rFonts w:cstheme="minorHAnsi"/>
        </w:rPr>
        <w:t>continue</w:t>
      </w:r>
      <w:r w:rsidR="00CC4221" w:rsidRPr="00CA64FD">
        <w:rPr>
          <w:rFonts w:cstheme="minorHAnsi"/>
        </w:rPr>
        <w:t>s</w:t>
      </w:r>
      <w:r w:rsidR="00EE3FEE" w:rsidRPr="00CA64FD">
        <w:rPr>
          <w:rFonts w:cstheme="minorHAnsi"/>
        </w:rPr>
        <w:t xml:space="preserve"> to shrink.</w:t>
      </w:r>
      <w:r w:rsidR="00DE0543" w:rsidRPr="00CA64FD">
        <w:rPr>
          <w:rStyle w:val="EndnoteReference"/>
          <w:rFonts w:cstheme="minorHAnsi"/>
        </w:rPr>
        <w:endnoteReference w:id="6"/>
      </w:r>
      <w:r w:rsidR="00DE0543" w:rsidRPr="00CA64FD">
        <w:rPr>
          <w:rFonts w:cstheme="minorHAnsi"/>
        </w:rPr>
        <w:t xml:space="preserve"> The highest rates of conversion are often in ecoregions with little remaining natural habitat.</w:t>
      </w:r>
      <w:r w:rsidR="00DE0543" w:rsidRPr="00CA64FD">
        <w:rPr>
          <w:rStyle w:val="EndnoteReference"/>
          <w:rFonts w:cstheme="minorHAnsi"/>
        </w:rPr>
        <w:endnoteReference w:id="7"/>
      </w:r>
      <w:r w:rsidR="00DE0543" w:rsidRPr="00CA64FD">
        <w:rPr>
          <w:rFonts w:cstheme="minorHAnsi"/>
        </w:rPr>
        <w:t xml:space="preserve"> </w:t>
      </w:r>
      <w:r w:rsidR="000600D3" w:rsidRPr="00CA64FD">
        <w:rPr>
          <w:rFonts w:cstheme="minorHAnsi"/>
        </w:rPr>
        <w:t>Similarly,</w:t>
      </w:r>
      <w:r w:rsidR="00631874" w:rsidRPr="00CA64FD">
        <w:rPr>
          <w:rFonts w:cstheme="minorHAnsi"/>
        </w:rPr>
        <w:t xml:space="preserve"> unsustainable use of</w:t>
      </w:r>
      <w:r w:rsidR="000600D3" w:rsidRPr="00CA64FD">
        <w:rPr>
          <w:rFonts w:cstheme="minorHAnsi"/>
        </w:rPr>
        <w:t xml:space="preserve"> marine resources </w:t>
      </w:r>
      <w:r w:rsidR="00631874" w:rsidRPr="00CA64FD">
        <w:rPr>
          <w:rFonts w:cstheme="minorHAnsi"/>
        </w:rPr>
        <w:t>is concentrated where governance is weakest.</w:t>
      </w:r>
      <w:r w:rsidR="00453702" w:rsidRPr="00CA64FD">
        <w:rPr>
          <w:rStyle w:val="EndnoteReference"/>
          <w:rFonts w:cstheme="minorHAnsi"/>
        </w:rPr>
        <w:endnoteReference w:id="8"/>
      </w:r>
    </w:p>
    <w:p w14:paraId="133940B8" w14:textId="1E923CF4" w:rsidR="00C768AF" w:rsidRPr="00CA64FD" w:rsidRDefault="00631874" w:rsidP="00CA64FD">
      <w:pPr>
        <w:spacing w:after="160"/>
        <w:rPr>
          <w:rFonts w:cstheme="minorHAnsi"/>
        </w:rPr>
      </w:pPr>
      <w:r w:rsidRPr="00CA64FD">
        <w:rPr>
          <w:rFonts w:cstheme="minorHAnsi"/>
        </w:rPr>
        <w:t>F</w:t>
      </w:r>
      <w:r w:rsidR="005D0EE3" w:rsidRPr="00CA64FD">
        <w:rPr>
          <w:rFonts w:cstheme="minorHAnsi"/>
        </w:rPr>
        <w:t>urther</w:t>
      </w:r>
      <w:r w:rsidR="00A149DE" w:rsidRPr="00CA64FD">
        <w:rPr>
          <w:rFonts w:cstheme="minorHAnsi"/>
        </w:rPr>
        <w:t xml:space="preserve"> species</w:t>
      </w:r>
      <w:r w:rsidR="005D0EE3" w:rsidRPr="00CA64FD">
        <w:rPr>
          <w:rFonts w:cstheme="minorHAnsi"/>
        </w:rPr>
        <w:t xml:space="preserve"> habitat</w:t>
      </w:r>
      <w:r w:rsidR="00A149DE" w:rsidRPr="00CA64FD">
        <w:rPr>
          <w:rFonts w:cstheme="minorHAnsi"/>
        </w:rPr>
        <w:t xml:space="preserve"> and ecosystem</w:t>
      </w:r>
      <w:r w:rsidR="005D0EE3" w:rsidRPr="00CA64FD">
        <w:rPr>
          <w:rFonts w:cstheme="minorHAnsi"/>
        </w:rPr>
        <w:t xml:space="preserve"> loss in </w:t>
      </w:r>
      <w:r w:rsidR="00CC4221" w:rsidRPr="00CA64FD">
        <w:rPr>
          <w:rFonts w:cstheme="minorHAnsi"/>
        </w:rPr>
        <w:t xml:space="preserve">some </w:t>
      </w:r>
      <w:r w:rsidRPr="00CA64FD">
        <w:rPr>
          <w:rFonts w:cstheme="minorHAnsi"/>
        </w:rPr>
        <w:t xml:space="preserve">locations </w:t>
      </w:r>
      <w:r w:rsidR="00C768AF" w:rsidRPr="00CA64FD">
        <w:rPr>
          <w:rFonts w:cstheme="minorHAnsi"/>
        </w:rPr>
        <w:t xml:space="preserve">is </w:t>
      </w:r>
      <w:r w:rsidR="001E4FFF" w:rsidRPr="00CA64FD">
        <w:rPr>
          <w:rFonts w:cstheme="minorHAnsi"/>
        </w:rPr>
        <w:t xml:space="preserve">highly likely if not </w:t>
      </w:r>
      <w:r w:rsidR="00CC4221" w:rsidRPr="00CA64FD">
        <w:rPr>
          <w:rFonts w:cstheme="minorHAnsi"/>
        </w:rPr>
        <w:t>unavoidable</w:t>
      </w:r>
      <w:r w:rsidR="005D0EE3" w:rsidRPr="00CA64FD">
        <w:rPr>
          <w:rFonts w:cstheme="minorHAnsi"/>
        </w:rPr>
        <w:t>,</w:t>
      </w:r>
      <w:r w:rsidR="00CC4221" w:rsidRPr="00CA64FD">
        <w:rPr>
          <w:rFonts w:cstheme="minorHAnsi"/>
        </w:rPr>
        <w:t xml:space="preserve"> </w:t>
      </w:r>
      <w:r w:rsidR="00251330" w:rsidRPr="00CA64FD">
        <w:rPr>
          <w:rFonts w:cstheme="minorHAnsi"/>
        </w:rPr>
        <w:t>due to demographic</w:t>
      </w:r>
      <w:r w:rsidR="005D0EE3" w:rsidRPr="00CA64FD">
        <w:rPr>
          <w:rFonts w:cstheme="minorHAnsi"/>
        </w:rPr>
        <w:t xml:space="preserve"> and</w:t>
      </w:r>
      <w:r w:rsidR="00251330" w:rsidRPr="00CA64FD">
        <w:rPr>
          <w:rFonts w:cstheme="minorHAnsi"/>
        </w:rPr>
        <w:t xml:space="preserve"> economic pressures</w:t>
      </w:r>
      <w:r w:rsidR="007768B1" w:rsidRPr="00CA64FD">
        <w:rPr>
          <w:rFonts w:cstheme="minorHAnsi"/>
        </w:rPr>
        <w:t xml:space="preserve">, </w:t>
      </w:r>
      <w:r w:rsidRPr="00CA64FD">
        <w:rPr>
          <w:rFonts w:cstheme="minorHAnsi"/>
        </w:rPr>
        <w:t>weak governance</w:t>
      </w:r>
      <w:r w:rsidR="007364F2">
        <w:rPr>
          <w:rFonts w:cstheme="minorHAnsi"/>
        </w:rPr>
        <w:t>,</w:t>
      </w:r>
      <w:r w:rsidRPr="00CA64FD">
        <w:rPr>
          <w:rFonts w:cstheme="minorHAnsi"/>
        </w:rPr>
        <w:t xml:space="preserve"> </w:t>
      </w:r>
      <w:r w:rsidR="007768B1" w:rsidRPr="00CA64FD">
        <w:rPr>
          <w:rFonts w:cstheme="minorHAnsi"/>
        </w:rPr>
        <w:t xml:space="preserve">and </w:t>
      </w:r>
      <w:r w:rsidR="00C768AF" w:rsidRPr="00CA64FD">
        <w:rPr>
          <w:rFonts w:cstheme="minorHAnsi"/>
        </w:rPr>
        <w:t xml:space="preserve">to meet humanity’s </w:t>
      </w:r>
      <w:r w:rsidR="00CC4221" w:rsidRPr="00CA64FD">
        <w:rPr>
          <w:rFonts w:cstheme="minorHAnsi"/>
        </w:rPr>
        <w:t xml:space="preserve">growing </w:t>
      </w:r>
      <w:r w:rsidRPr="00CA64FD">
        <w:rPr>
          <w:rFonts w:cstheme="minorHAnsi"/>
        </w:rPr>
        <w:t xml:space="preserve">demand </w:t>
      </w:r>
      <w:r w:rsidR="00C768AF" w:rsidRPr="00CA64FD">
        <w:rPr>
          <w:rFonts w:cstheme="minorHAnsi"/>
        </w:rPr>
        <w:t xml:space="preserve">for food, energy, </w:t>
      </w:r>
      <w:r w:rsidR="00CC4221" w:rsidRPr="00CA64FD">
        <w:rPr>
          <w:rFonts w:cstheme="minorHAnsi"/>
        </w:rPr>
        <w:t>materials</w:t>
      </w:r>
      <w:r w:rsidR="00C768AF" w:rsidRPr="00CA64FD">
        <w:rPr>
          <w:rFonts w:cstheme="minorHAnsi"/>
        </w:rPr>
        <w:t>, transport a</w:t>
      </w:r>
      <w:r w:rsidR="005D3055" w:rsidRPr="00CA64FD">
        <w:rPr>
          <w:rFonts w:cstheme="minorHAnsi"/>
        </w:rPr>
        <w:t>n</w:t>
      </w:r>
      <w:r w:rsidR="00C768AF" w:rsidRPr="00CA64FD">
        <w:rPr>
          <w:rFonts w:cstheme="minorHAnsi"/>
        </w:rPr>
        <w:t xml:space="preserve">d health. The concept of “net” simply acknowledges that some loss </w:t>
      </w:r>
      <w:r w:rsidRPr="00CA64FD">
        <w:rPr>
          <w:rFonts w:cstheme="minorHAnsi"/>
        </w:rPr>
        <w:t xml:space="preserve">or degradation </w:t>
      </w:r>
      <w:r w:rsidR="00CC4221" w:rsidRPr="00CA64FD">
        <w:rPr>
          <w:rFonts w:cstheme="minorHAnsi"/>
        </w:rPr>
        <w:t xml:space="preserve">of </w:t>
      </w:r>
      <w:r w:rsidR="00C768AF" w:rsidRPr="00CA64FD">
        <w:rPr>
          <w:rFonts w:cstheme="minorHAnsi"/>
        </w:rPr>
        <w:t>natur</w:t>
      </w:r>
      <w:r w:rsidRPr="00CA64FD">
        <w:rPr>
          <w:rFonts w:cstheme="minorHAnsi"/>
        </w:rPr>
        <w:t xml:space="preserve">e </w:t>
      </w:r>
      <w:r w:rsidR="00C768AF" w:rsidRPr="00CA64FD">
        <w:rPr>
          <w:rFonts w:cstheme="minorHAnsi"/>
        </w:rPr>
        <w:t xml:space="preserve">is an inevitable </w:t>
      </w:r>
      <w:r w:rsidR="00CC4221" w:rsidRPr="00CA64FD">
        <w:rPr>
          <w:rFonts w:cstheme="minorHAnsi"/>
        </w:rPr>
        <w:t xml:space="preserve">result </w:t>
      </w:r>
      <w:r w:rsidR="00C768AF" w:rsidRPr="00CA64FD">
        <w:rPr>
          <w:rFonts w:cstheme="minorHAnsi"/>
        </w:rPr>
        <w:t xml:space="preserve">of </w:t>
      </w:r>
      <w:r w:rsidR="00CC4221" w:rsidRPr="00CA64FD">
        <w:rPr>
          <w:rFonts w:cstheme="minorHAnsi"/>
        </w:rPr>
        <w:t>human</w:t>
      </w:r>
      <w:r w:rsidRPr="00CA64FD">
        <w:rPr>
          <w:rFonts w:cstheme="minorHAnsi"/>
        </w:rPr>
        <w:t xml:space="preserve"> use and </w:t>
      </w:r>
      <w:r w:rsidR="00251330" w:rsidRPr="00CA64FD">
        <w:rPr>
          <w:rFonts w:cstheme="minorHAnsi"/>
        </w:rPr>
        <w:t>pressures</w:t>
      </w:r>
      <w:r w:rsidR="00C768AF" w:rsidRPr="00CA64FD">
        <w:rPr>
          <w:rFonts w:cstheme="minorHAnsi"/>
        </w:rPr>
        <w:t>.</w:t>
      </w:r>
      <w:r w:rsidR="00453702" w:rsidRPr="00CA64FD">
        <w:rPr>
          <w:rStyle w:val="EndnoteReference"/>
          <w:rFonts w:cstheme="minorHAnsi"/>
        </w:rPr>
        <w:endnoteReference w:id="9"/>
      </w:r>
      <w:r w:rsidR="00C768AF" w:rsidRPr="00CA64FD">
        <w:rPr>
          <w:rFonts w:cstheme="minorHAnsi"/>
        </w:rPr>
        <w:t xml:space="preserve"> </w:t>
      </w:r>
      <w:r w:rsidR="00CC4221" w:rsidRPr="00CA64FD">
        <w:rPr>
          <w:rFonts w:cstheme="minorHAnsi"/>
        </w:rPr>
        <w:t xml:space="preserve">However, the term “net” </w:t>
      </w:r>
      <w:r w:rsidR="00C768AF" w:rsidRPr="00CA64FD">
        <w:rPr>
          <w:rFonts w:cstheme="minorHAnsi"/>
        </w:rPr>
        <w:t xml:space="preserve">also implies </w:t>
      </w:r>
      <w:r w:rsidR="00CC4221" w:rsidRPr="00CA64FD">
        <w:rPr>
          <w:rFonts w:cstheme="minorHAnsi"/>
        </w:rPr>
        <w:t xml:space="preserve">that </w:t>
      </w:r>
      <w:r w:rsidR="00C768AF" w:rsidRPr="00CA64FD">
        <w:rPr>
          <w:rFonts w:cstheme="minorHAnsi"/>
        </w:rPr>
        <w:t xml:space="preserve">the </w:t>
      </w:r>
      <w:r w:rsidR="00CC4221" w:rsidRPr="00CA64FD">
        <w:rPr>
          <w:rFonts w:cstheme="minorHAnsi"/>
        </w:rPr>
        <w:t xml:space="preserve">magnitude </w:t>
      </w:r>
      <w:r w:rsidR="00C768AF" w:rsidRPr="00CA64FD">
        <w:rPr>
          <w:rFonts w:cstheme="minorHAnsi"/>
        </w:rPr>
        <w:t xml:space="preserve">of these </w:t>
      </w:r>
      <w:r w:rsidR="00CC4221" w:rsidRPr="00CA64FD">
        <w:rPr>
          <w:rFonts w:cstheme="minorHAnsi"/>
        </w:rPr>
        <w:t xml:space="preserve">losses </w:t>
      </w:r>
      <w:r w:rsidR="00C768AF" w:rsidRPr="00CA64FD">
        <w:rPr>
          <w:rFonts w:cstheme="minorHAnsi"/>
        </w:rPr>
        <w:t xml:space="preserve">should be </w:t>
      </w:r>
      <w:r w:rsidRPr="00CA64FD">
        <w:rPr>
          <w:rFonts w:cstheme="minorHAnsi"/>
        </w:rPr>
        <w:t xml:space="preserve">systematically </w:t>
      </w:r>
      <w:r w:rsidR="00C768AF" w:rsidRPr="00CA64FD">
        <w:rPr>
          <w:rFonts w:cstheme="minorHAnsi"/>
        </w:rPr>
        <w:t xml:space="preserve">assessed when </w:t>
      </w:r>
      <w:r w:rsidRPr="00CA64FD">
        <w:rPr>
          <w:rFonts w:cstheme="minorHAnsi"/>
        </w:rPr>
        <w:t xml:space="preserve">economic </w:t>
      </w:r>
      <w:r w:rsidR="00C768AF" w:rsidRPr="00CA64FD">
        <w:rPr>
          <w:rFonts w:cstheme="minorHAnsi"/>
        </w:rPr>
        <w:t>projects</w:t>
      </w:r>
      <w:r w:rsidR="00CC4221" w:rsidRPr="00CA64FD">
        <w:rPr>
          <w:rFonts w:cstheme="minorHAnsi"/>
        </w:rPr>
        <w:t xml:space="preserve"> are designed</w:t>
      </w:r>
      <w:r w:rsidR="00C768AF" w:rsidRPr="00CA64FD">
        <w:rPr>
          <w:rFonts w:cstheme="minorHAnsi"/>
        </w:rPr>
        <w:t xml:space="preserve">, and </w:t>
      </w:r>
      <w:r w:rsidR="00CC4221" w:rsidRPr="00CA64FD">
        <w:rPr>
          <w:rFonts w:cstheme="minorHAnsi"/>
        </w:rPr>
        <w:t xml:space="preserve">that </w:t>
      </w:r>
      <w:r w:rsidR="001F5718" w:rsidRPr="00CA64FD">
        <w:rPr>
          <w:rFonts w:cstheme="minorHAnsi"/>
        </w:rPr>
        <w:t xml:space="preserve">robust </w:t>
      </w:r>
      <w:r w:rsidR="00C768AF" w:rsidRPr="00CA64FD">
        <w:rPr>
          <w:rFonts w:cstheme="minorHAnsi"/>
        </w:rPr>
        <w:t xml:space="preserve">efforts </w:t>
      </w:r>
      <w:r w:rsidR="00CC4221" w:rsidRPr="00CA64FD">
        <w:rPr>
          <w:rFonts w:cstheme="minorHAnsi"/>
        </w:rPr>
        <w:t xml:space="preserve">should </w:t>
      </w:r>
      <w:r w:rsidR="00C768AF" w:rsidRPr="00CA64FD">
        <w:rPr>
          <w:rFonts w:cstheme="minorHAnsi"/>
        </w:rPr>
        <w:t>made to</w:t>
      </w:r>
      <w:r w:rsidR="00AE10A7" w:rsidRPr="00CA64FD">
        <w:rPr>
          <w:rFonts w:cstheme="minorHAnsi"/>
        </w:rPr>
        <w:t xml:space="preserve"> implement the mitigation hierarchy—to avoid certain areas that are significant for biodiversity, and to</w:t>
      </w:r>
      <w:r w:rsidR="00C768AF" w:rsidRPr="00CA64FD">
        <w:rPr>
          <w:rFonts w:cstheme="minorHAnsi"/>
        </w:rPr>
        <w:t xml:space="preserve"> limit and compensate for </w:t>
      </w:r>
      <w:r w:rsidR="00AE10A7" w:rsidRPr="00CA64FD">
        <w:rPr>
          <w:rFonts w:cstheme="minorHAnsi"/>
        </w:rPr>
        <w:t xml:space="preserve">other </w:t>
      </w:r>
      <w:r w:rsidR="00CC4221" w:rsidRPr="00CA64FD">
        <w:rPr>
          <w:rFonts w:cstheme="minorHAnsi"/>
        </w:rPr>
        <w:t>losses, ideally in-kind</w:t>
      </w:r>
      <w:r w:rsidR="00C768AF" w:rsidRPr="00CA64FD">
        <w:rPr>
          <w:rFonts w:cstheme="minorHAnsi"/>
        </w:rPr>
        <w:t>.</w:t>
      </w:r>
      <w:r w:rsidR="00CC4221" w:rsidRPr="00CA64FD">
        <w:rPr>
          <w:rFonts w:cstheme="minorHAnsi"/>
        </w:rPr>
        <w:t xml:space="preserve"> By the same token, the concept of “net” implies that additions to </w:t>
      </w:r>
      <w:r w:rsidRPr="00CA64FD">
        <w:rPr>
          <w:rFonts w:cstheme="minorHAnsi"/>
        </w:rPr>
        <w:t xml:space="preserve">or improvements in </w:t>
      </w:r>
      <w:r w:rsidR="00CC4221" w:rsidRPr="00CA64FD">
        <w:rPr>
          <w:rFonts w:cstheme="minorHAnsi"/>
        </w:rPr>
        <w:t xml:space="preserve">natural habitat, through restoration or </w:t>
      </w:r>
      <w:r w:rsidR="00FC4DB4" w:rsidRPr="00CA64FD">
        <w:rPr>
          <w:rFonts w:cstheme="minorHAnsi"/>
        </w:rPr>
        <w:t xml:space="preserve">ecological </w:t>
      </w:r>
      <w:r w:rsidR="00CC4221" w:rsidRPr="00CA64FD">
        <w:rPr>
          <w:rFonts w:cstheme="minorHAnsi"/>
        </w:rPr>
        <w:t>enhance</w:t>
      </w:r>
      <w:r w:rsidR="00FC4DB4" w:rsidRPr="00CA64FD">
        <w:rPr>
          <w:rFonts w:cstheme="minorHAnsi"/>
        </w:rPr>
        <w:t>ment</w:t>
      </w:r>
      <w:r w:rsidR="00CC4221" w:rsidRPr="00CA64FD">
        <w:rPr>
          <w:rFonts w:cstheme="minorHAnsi"/>
        </w:rPr>
        <w:t>, may be considered as potential compensatory actions.</w:t>
      </w:r>
      <w:r w:rsidR="00AE10A7" w:rsidRPr="00CA64FD">
        <w:rPr>
          <w:rFonts w:cstheme="minorHAnsi"/>
        </w:rPr>
        <w:t xml:space="preserve"> </w:t>
      </w:r>
    </w:p>
    <w:p w14:paraId="659C3F9E" w14:textId="7A57CA7E" w:rsidR="00EE3FEE" w:rsidRPr="00CA64FD" w:rsidRDefault="00AF7766" w:rsidP="00CA64FD">
      <w:pPr>
        <w:spacing w:after="120"/>
        <w:rPr>
          <w:rFonts w:cstheme="minorHAnsi"/>
        </w:rPr>
      </w:pPr>
      <w:r w:rsidRPr="00CA64FD">
        <w:rPr>
          <w:rFonts w:cstheme="minorHAnsi"/>
        </w:rPr>
        <w:t xml:space="preserve">If we don’t address </w:t>
      </w:r>
      <w:r w:rsidR="00A31D81" w:rsidRPr="00CA64FD">
        <w:rPr>
          <w:rFonts w:cstheme="minorHAnsi"/>
        </w:rPr>
        <w:t xml:space="preserve">habitat </w:t>
      </w:r>
      <w:r w:rsidR="00631874" w:rsidRPr="00CA64FD">
        <w:rPr>
          <w:rFonts w:cstheme="minorHAnsi"/>
        </w:rPr>
        <w:t xml:space="preserve">disturbance and </w:t>
      </w:r>
      <w:r w:rsidR="00A31D81" w:rsidRPr="00CA64FD">
        <w:rPr>
          <w:rFonts w:cstheme="minorHAnsi"/>
        </w:rPr>
        <w:t xml:space="preserve">conversion </w:t>
      </w:r>
      <w:r w:rsidR="001E4FFF" w:rsidRPr="00CA64FD">
        <w:rPr>
          <w:rFonts w:cstheme="minorHAnsi"/>
        </w:rPr>
        <w:t>for human use</w:t>
      </w:r>
      <w:r w:rsidRPr="00CA64FD">
        <w:rPr>
          <w:rFonts w:cstheme="minorHAnsi"/>
        </w:rPr>
        <w:t xml:space="preserve">, </w:t>
      </w:r>
      <w:r w:rsidR="00A31D81" w:rsidRPr="00CA64FD">
        <w:rPr>
          <w:rFonts w:cstheme="minorHAnsi"/>
        </w:rPr>
        <w:t xml:space="preserve">we </w:t>
      </w:r>
      <w:r w:rsidRPr="00CA64FD">
        <w:rPr>
          <w:rFonts w:cstheme="minorHAnsi"/>
        </w:rPr>
        <w:t xml:space="preserve">will suffer </w:t>
      </w:r>
      <w:r w:rsidR="00631874" w:rsidRPr="00CA64FD">
        <w:rPr>
          <w:rFonts w:cstheme="minorHAnsi"/>
        </w:rPr>
        <w:t xml:space="preserve">further </w:t>
      </w:r>
      <w:r w:rsidRPr="00CA64FD">
        <w:rPr>
          <w:rFonts w:cstheme="minorHAnsi"/>
        </w:rPr>
        <w:t xml:space="preserve">ecosystem loss even </w:t>
      </w:r>
      <w:r w:rsidR="00A31D81" w:rsidRPr="00CA64FD">
        <w:rPr>
          <w:rFonts w:cstheme="minorHAnsi"/>
        </w:rPr>
        <w:t>if</w:t>
      </w:r>
      <w:r w:rsidRPr="00CA64FD">
        <w:rPr>
          <w:rFonts w:cstheme="minorHAnsi"/>
        </w:rPr>
        <w:t xml:space="preserve"> we expand </w:t>
      </w:r>
      <w:r w:rsidR="000C4349" w:rsidRPr="00CA64FD">
        <w:rPr>
          <w:rFonts w:cstheme="minorHAnsi"/>
        </w:rPr>
        <w:t xml:space="preserve">protected area networks, as protection </w:t>
      </w:r>
      <w:r w:rsidR="001E4FFF" w:rsidRPr="00CA64FD">
        <w:rPr>
          <w:rFonts w:cstheme="minorHAnsi"/>
        </w:rPr>
        <w:t xml:space="preserve">often </w:t>
      </w:r>
      <w:r w:rsidR="000C4349" w:rsidRPr="00CA64FD">
        <w:rPr>
          <w:rFonts w:cstheme="minorHAnsi"/>
        </w:rPr>
        <w:t>displace</w:t>
      </w:r>
      <w:r w:rsidR="001E4FFF" w:rsidRPr="00CA64FD">
        <w:rPr>
          <w:rFonts w:cstheme="minorHAnsi"/>
        </w:rPr>
        <w:t>s</w:t>
      </w:r>
      <w:r w:rsidR="000C4349" w:rsidRPr="00CA64FD">
        <w:rPr>
          <w:rFonts w:cstheme="minorHAnsi"/>
        </w:rPr>
        <w:t xml:space="preserve"> </w:t>
      </w:r>
      <w:r w:rsidR="001E4FFF" w:rsidRPr="00CA64FD">
        <w:rPr>
          <w:rFonts w:cstheme="minorHAnsi"/>
        </w:rPr>
        <w:t xml:space="preserve">economic activity and </w:t>
      </w:r>
      <w:r w:rsidR="000C4349" w:rsidRPr="00CA64FD">
        <w:rPr>
          <w:rFonts w:cstheme="minorHAnsi"/>
        </w:rPr>
        <w:t xml:space="preserve">impacts </w:t>
      </w:r>
      <w:r w:rsidR="001E4FFF" w:rsidRPr="00CA64FD">
        <w:rPr>
          <w:rFonts w:cstheme="minorHAnsi"/>
        </w:rPr>
        <w:t>to other vulnerable locations</w:t>
      </w:r>
      <w:r w:rsidR="000C4349" w:rsidRPr="00CA64FD">
        <w:rPr>
          <w:rFonts w:cstheme="minorHAnsi"/>
        </w:rPr>
        <w:t>.</w:t>
      </w:r>
      <w:r w:rsidR="002A7137" w:rsidRPr="00CA64FD">
        <w:rPr>
          <w:rStyle w:val="EndnoteReference"/>
          <w:rFonts w:cstheme="minorHAnsi"/>
        </w:rPr>
        <w:endnoteReference w:id="10"/>
      </w:r>
      <w:r w:rsidR="00264FE3" w:rsidRPr="00CA64FD">
        <w:rPr>
          <w:rFonts w:cstheme="minorHAnsi"/>
        </w:rPr>
        <w:t xml:space="preserve"> </w:t>
      </w:r>
      <w:r w:rsidR="00A31D81" w:rsidRPr="00CA64FD">
        <w:rPr>
          <w:rFonts w:cstheme="minorHAnsi"/>
        </w:rPr>
        <w:t xml:space="preserve">A target for </w:t>
      </w:r>
      <w:r w:rsidR="00A31D81" w:rsidRPr="00CA64FD">
        <w:rPr>
          <w:rFonts w:cstheme="minorHAnsi"/>
          <w:b/>
          <w:bCs/>
        </w:rPr>
        <w:t>Net Gain</w:t>
      </w:r>
      <w:r w:rsidR="00A31D81" w:rsidRPr="00CA64FD">
        <w:rPr>
          <w:rFonts w:cstheme="minorHAnsi"/>
        </w:rPr>
        <w:t xml:space="preserve"> of ecosystem extent and quality </w:t>
      </w:r>
      <w:r w:rsidR="001E4FFF" w:rsidRPr="00CA64FD">
        <w:rPr>
          <w:rFonts w:cstheme="minorHAnsi"/>
        </w:rPr>
        <w:t xml:space="preserve">can </w:t>
      </w:r>
      <w:r w:rsidR="00A31D81" w:rsidRPr="00CA64FD">
        <w:rPr>
          <w:rFonts w:cstheme="minorHAnsi"/>
        </w:rPr>
        <w:t xml:space="preserve">help </w:t>
      </w:r>
      <w:r w:rsidR="00B3215D" w:rsidRPr="00CA64FD">
        <w:rPr>
          <w:rFonts w:cstheme="minorHAnsi"/>
        </w:rPr>
        <w:t xml:space="preserve">to </w:t>
      </w:r>
      <w:r w:rsidR="00A31D81" w:rsidRPr="00CA64FD">
        <w:rPr>
          <w:rFonts w:cstheme="minorHAnsi"/>
        </w:rPr>
        <w:t xml:space="preserve">address conversion pressure and </w:t>
      </w:r>
      <w:r w:rsidR="00C768AF" w:rsidRPr="00CA64FD">
        <w:rPr>
          <w:rFonts w:cstheme="minorHAnsi"/>
        </w:rPr>
        <w:t>drive</w:t>
      </w:r>
      <w:r w:rsidR="00A31D81" w:rsidRPr="00CA64FD">
        <w:rPr>
          <w:rFonts w:cstheme="minorHAnsi"/>
        </w:rPr>
        <w:t xml:space="preserve"> </w:t>
      </w:r>
      <w:r w:rsidR="001E4FFF" w:rsidRPr="00CA64FD">
        <w:rPr>
          <w:rFonts w:cstheme="minorHAnsi"/>
        </w:rPr>
        <w:t xml:space="preserve">habitat </w:t>
      </w:r>
      <w:r w:rsidR="00A31D81" w:rsidRPr="00CA64FD">
        <w:rPr>
          <w:rFonts w:cstheme="minorHAnsi"/>
        </w:rPr>
        <w:t>restoration</w:t>
      </w:r>
      <w:r w:rsidR="00C768AF" w:rsidRPr="00CA64FD">
        <w:rPr>
          <w:rFonts w:cstheme="minorHAnsi"/>
        </w:rPr>
        <w:t xml:space="preserve">, which </w:t>
      </w:r>
      <w:r w:rsidR="001E4FFF" w:rsidRPr="00CA64FD">
        <w:rPr>
          <w:rFonts w:cstheme="minorHAnsi"/>
        </w:rPr>
        <w:t xml:space="preserve">is </w:t>
      </w:r>
      <w:r w:rsidR="00C768AF" w:rsidRPr="00CA64FD">
        <w:rPr>
          <w:rFonts w:cstheme="minorHAnsi"/>
        </w:rPr>
        <w:t>essential to meet even the 30% protected area</w:t>
      </w:r>
      <w:r w:rsidR="00AE10A7" w:rsidRPr="00CA64FD">
        <w:rPr>
          <w:rFonts w:cstheme="minorHAnsi"/>
        </w:rPr>
        <w:t xml:space="preserve"> </w:t>
      </w:r>
      <w:r w:rsidR="00C768AF" w:rsidRPr="00CA64FD">
        <w:rPr>
          <w:rFonts w:cstheme="minorHAnsi"/>
        </w:rPr>
        <w:t>target</w:t>
      </w:r>
      <w:r w:rsidR="00A31D81" w:rsidRPr="00CA64FD">
        <w:rPr>
          <w:rFonts w:cstheme="minorHAnsi"/>
        </w:rPr>
        <w:t>.</w:t>
      </w:r>
      <w:r w:rsidR="00DE0543" w:rsidRPr="00CA64FD">
        <w:rPr>
          <w:rStyle w:val="EndnoteReference"/>
          <w:rFonts w:cstheme="minorHAnsi"/>
        </w:rPr>
        <w:endnoteReference w:id="11"/>
      </w:r>
      <w:r w:rsidR="00DE0543" w:rsidRPr="00CA64FD">
        <w:rPr>
          <w:rFonts w:cstheme="minorHAnsi"/>
        </w:rPr>
        <w:t xml:space="preserve"> </w:t>
      </w:r>
      <w:r w:rsidR="001E4FFF" w:rsidRPr="00CA64FD">
        <w:rPr>
          <w:rFonts w:cstheme="minorHAnsi"/>
        </w:rPr>
        <w:t>Moreover, n</w:t>
      </w:r>
      <w:r w:rsidR="00B254AB" w:rsidRPr="00CA64FD">
        <w:rPr>
          <w:rFonts w:cstheme="minorHAnsi"/>
        </w:rPr>
        <w:t xml:space="preserve">et gain </w:t>
      </w:r>
      <w:r w:rsidR="00631874" w:rsidRPr="00CA64FD">
        <w:rPr>
          <w:rFonts w:cstheme="minorHAnsi"/>
        </w:rPr>
        <w:t xml:space="preserve">must </w:t>
      </w:r>
      <w:r w:rsidR="00B254AB" w:rsidRPr="00CA64FD">
        <w:rPr>
          <w:rFonts w:cstheme="minorHAnsi"/>
        </w:rPr>
        <w:t xml:space="preserve">be assessed in ecological and also socio-economic terms, noting that healthy habitats provide </w:t>
      </w:r>
      <w:r w:rsidR="001E4FFF" w:rsidRPr="00CA64FD">
        <w:rPr>
          <w:rFonts w:cstheme="minorHAnsi"/>
        </w:rPr>
        <w:t xml:space="preserve">a range of valuable </w:t>
      </w:r>
      <w:r w:rsidR="00B254AB" w:rsidRPr="00CA64FD">
        <w:rPr>
          <w:rFonts w:cstheme="minorHAnsi"/>
        </w:rPr>
        <w:t>ecosystem services to local and global communities.</w:t>
      </w:r>
      <w:r w:rsidR="007F4EFF" w:rsidRPr="00CA64FD">
        <w:rPr>
          <w:rFonts w:cstheme="minorHAnsi"/>
        </w:rPr>
        <w:t xml:space="preserve"> Further, efforts to</w:t>
      </w:r>
      <w:r w:rsidR="001E4FFF" w:rsidRPr="00CA64FD">
        <w:rPr>
          <w:rFonts w:cstheme="minorHAnsi"/>
        </w:rPr>
        <w:t xml:space="preserve"> ensure</w:t>
      </w:r>
      <w:r w:rsidR="007F4EFF" w:rsidRPr="00CA64FD">
        <w:rPr>
          <w:rFonts w:cstheme="minorHAnsi"/>
        </w:rPr>
        <w:t xml:space="preserve"> net gain must tackle all the key drivers of nature loss—not just conversion, but also overexploitation, climate change, pollution, and </w:t>
      </w:r>
      <w:r w:rsidR="001E4FFF" w:rsidRPr="00CA64FD">
        <w:rPr>
          <w:rFonts w:cstheme="minorHAnsi"/>
        </w:rPr>
        <w:t xml:space="preserve">the spread of </w:t>
      </w:r>
      <w:r w:rsidR="007F4EFF" w:rsidRPr="00CA64FD">
        <w:rPr>
          <w:rFonts w:cstheme="minorHAnsi"/>
        </w:rPr>
        <w:t>invasive species—</w:t>
      </w:r>
      <w:r w:rsidR="00AE10A7" w:rsidRPr="00CA64FD">
        <w:rPr>
          <w:rFonts w:cstheme="minorHAnsi"/>
        </w:rPr>
        <w:t>on land, in freshwater, and in the ocean</w:t>
      </w:r>
      <w:r w:rsidR="00631874" w:rsidRPr="00CA64FD">
        <w:rPr>
          <w:rFonts w:cstheme="minorHAnsi"/>
        </w:rPr>
        <w:t>s</w:t>
      </w:r>
      <w:r w:rsidR="00AE10A7" w:rsidRPr="00CA64FD">
        <w:rPr>
          <w:rFonts w:cstheme="minorHAnsi"/>
        </w:rPr>
        <w:t>—</w:t>
      </w:r>
      <w:r w:rsidR="007F4EFF" w:rsidRPr="00CA64FD">
        <w:rPr>
          <w:rFonts w:cstheme="minorHAnsi"/>
        </w:rPr>
        <w:t>to</w:t>
      </w:r>
      <w:r w:rsidR="00AE10A7" w:rsidRPr="00CA64FD">
        <w:rPr>
          <w:rFonts w:cstheme="minorHAnsi"/>
        </w:rPr>
        <w:t xml:space="preserve"> </w:t>
      </w:r>
      <w:r w:rsidR="001E4FFF" w:rsidRPr="00CA64FD">
        <w:rPr>
          <w:rFonts w:cstheme="minorHAnsi"/>
        </w:rPr>
        <w:t xml:space="preserve">protect and expand </w:t>
      </w:r>
      <w:r w:rsidR="005E4FFC" w:rsidRPr="00CA64FD">
        <w:rPr>
          <w:rFonts w:cstheme="minorHAnsi"/>
        </w:rPr>
        <w:t xml:space="preserve">both </w:t>
      </w:r>
      <w:r w:rsidR="007F4EFF" w:rsidRPr="00CA64FD">
        <w:rPr>
          <w:rFonts w:cstheme="minorHAnsi"/>
        </w:rPr>
        <w:t>ecosystem extent and quality</w:t>
      </w:r>
      <w:r w:rsidR="001F5718" w:rsidRPr="00CA64FD">
        <w:rPr>
          <w:rFonts w:cstheme="minorHAnsi"/>
        </w:rPr>
        <w:t>.</w:t>
      </w:r>
    </w:p>
    <w:p w14:paraId="28B19A64" w14:textId="7682292C" w:rsidR="00F17B14" w:rsidRPr="00CA64FD" w:rsidRDefault="00A31D81" w:rsidP="00CA64FD">
      <w:pPr>
        <w:spacing w:after="120"/>
        <w:rPr>
          <w:rFonts w:cstheme="minorHAnsi"/>
        </w:rPr>
      </w:pPr>
      <w:r w:rsidRPr="00CA64FD">
        <w:rPr>
          <w:rFonts w:cstheme="minorHAnsi"/>
        </w:rPr>
        <w:lastRenderedPageBreak/>
        <w:t xml:space="preserve">The UNCCD has </w:t>
      </w:r>
      <w:r w:rsidR="00C768AF" w:rsidRPr="00CA64FD">
        <w:rPr>
          <w:rFonts w:cstheme="minorHAnsi"/>
        </w:rPr>
        <w:t xml:space="preserve">recognized the need to address </w:t>
      </w:r>
      <w:r w:rsidR="001E4FFF" w:rsidRPr="00CA64FD">
        <w:rPr>
          <w:rFonts w:cstheme="minorHAnsi"/>
        </w:rPr>
        <w:t xml:space="preserve">adverse </w:t>
      </w:r>
      <w:r w:rsidR="00C768AF" w:rsidRPr="00CA64FD">
        <w:rPr>
          <w:rFonts w:cstheme="minorHAnsi"/>
        </w:rPr>
        <w:t>impact</w:t>
      </w:r>
      <w:r w:rsidR="00B3215D" w:rsidRPr="00CA64FD">
        <w:rPr>
          <w:rFonts w:cstheme="minorHAnsi"/>
        </w:rPr>
        <w:t>s</w:t>
      </w:r>
      <w:r w:rsidR="00C768AF" w:rsidRPr="00CA64FD">
        <w:rPr>
          <w:rFonts w:cstheme="minorHAnsi"/>
        </w:rPr>
        <w:t xml:space="preserve"> and </w:t>
      </w:r>
      <w:r w:rsidR="001E4FFF" w:rsidRPr="00CA64FD">
        <w:rPr>
          <w:rFonts w:cstheme="minorHAnsi"/>
        </w:rPr>
        <w:t xml:space="preserve">to promote </w:t>
      </w:r>
      <w:r w:rsidR="00C768AF" w:rsidRPr="00CA64FD">
        <w:rPr>
          <w:rFonts w:cstheme="minorHAnsi"/>
        </w:rPr>
        <w:t xml:space="preserve">restoration needs through its </w:t>
      </w:r>
      <w:r w:rsidR="00EE3FEE" w:rsidRPr="00CA64FD">
        <w:rPr>
          <w:rFonts w:cstheme="minorHAnsi"/>
        </w:rPr>
        <w:t>Land Degradation Neutrality</w:t>
      </w:r>
      <w:r w:rsidR="00C768AF" w:rsidRPr="00CA64FD">
        <w:rPr>
          <w:rFonts w:cstheme="minorHAnsi"/>
        </w:rPr>
        <w:t xml:space="preserve"> (LDN) goal</w:t>
      </w:r>
      <w:r w:rsidR="00B3215D" w:rsidRPr="00CA64FD">
        <w:rPr>
          <w:rFonts w:cstheme="minorHAnsi"/>
        </w:rPr>
        <w:t xml:space="preserve">. This </w:t>
      </w:r>
      <w:r w:rsidR="00F17B14" w:rsidRPr="00CA64FD">
        <w:rPr>
          <w:rFonts w:cstheme="minorHAnsi"/>
        </w:rPr>
        <w:t>provide</w:t>
      </w:r>
      <w:r w:rsidR="00B3215D" w:rsidRPr="00CA64FD">
        <w:rPr>
          <w:rFonts w:cstheme="minorHAnsi"/>
        </w:rPr>
        <w:t>s</w:t>
      </w:r>
      <w:r w:rsidR="00F17B14" w:rsidRPr="00CA64FD">
        <w:rPr>
          <w:rFonts w:cstheme="minorHAnsi"/>
        </w:rPr>
        <w:t xml:space="preserve"> a template for how the Global Biodiversity Framework </w:t>
      </w:r>
      <w:r w:rsidR="00B3215D" w:rsidRPr="00CA64FD">
        <w:rPr>
          <w:rFonts w:cstheme="minorHAnsi"/>
        </w:rPr>
        <w:t xml:space="preserve">could express </w:t>
      </w:r>
      <w:r w:rsidR="00F17B14" w:rsidRPr="00CA64FD">
        <w:rPr>
          <w:rFonts w:cstheme="minorHAnsi"/>
        </w:rPr>
        <w:t xml:space="preserve">a net gain target for </w:t>
      </w:r>
      <w:r w:rsidR="00F65BBF" w:rsidRPr="00CA64FD">
        <w:rPr>
          <w:rFonts w:cstheme="minorHAnsi"/>
        </w:rPr>
        <w:t>ecoregions</w:t>
      </w:r>
      <w:r w:rsidR="00AE10A7" w:rsidRPr="00CA64FD">
        <w:rPr>
          <w:rFonts w:cstheme="minorHAnsi"/>
        </w:rPr>
        <w:t xml:space="preserve">, whilst recognizing that net gain and restoration </w:t>
      </w:r>
      <w:r w:rsidR="00631874" w:rsidRPr="00CA64FD">
        <w:rPr>
          <w:rFonts w:cstheme="minorHAnsi"/>
        </w:rPr>
        <w:t xml:space="preserve">must </w:t>
      </w:r>
      <w:r w:rsidR="00AE10A7" w:rsidRPr="00CA64FD">
        <w:rPr>
          <w:rFonts w:cstheme="minorHAnsi"/>
        </w:rPr>
        <w:t xml:space="preserve">never be used as a smokescreen </w:t>
      </w:r>
      <w:r w:rsidR="00631874" w:rsidRPr="00CA64FD">
        <w:rPr>
          <w:rFonts w:cstheme="minorHAnsi"/>
        </w:rPr>
        <w:t xml:space="preserve">or an excuse </w:t>
      </w:r>
      <w:r w:rsidR="00AE10A7" w:rsidRPr="00CA64FD">
        <w:rPr>
          <w:rFonts w:cstheme="minorHAnsi"/>
        </w:rPr>
        <w:t>to facilitate increased destruction of highly intact ecosystems</w:t>
      </w:r>
      <w:r w:rsidR="00F17B14" w:rsidRPr="00CA64FD">
        <w:rPr>
          <w:rFonts w:cstheme="minorHAnsi"/>
        </w:rPr>
        <w:t>.</w:t>
      </w:r>
    </w:p>
    <w:p w14:paraId="0B414209" w14:textId="77777777" w:rsidR="00EE3FEE" w:rsidRPr="00CA64FD" w:rsidRDefault="00EE3FEE">
      <w:pPr>
        <w:rPr>
          <w:rFonts w:cstheme="minorHAnsi"/>
        </w:rPr>
      </w:pPr>
    </w:p>
    <w:p w14:paraId="0E9DCA45" w14:textId="6A534AD5" w:rsidR="00F17B14" w:rsidRPr="00CA64FD" w:rsidRDefault="00F17B14" w:rsidP="00D7364A">
      <w:pPr>
        <w:spacing w:after="120"/>
        <w:rPr>
          <w:rFonts w:cstheme="minorHAnsi"/>
          <w:b/>
          <w:bCs/>
          <w:i/>
          <w:iCs/>
        </w:rPr>
      </w:pPr>
      <w:r w:rsidRPr="00CA64FD">
        <w:rPr>
          <w:rFonts w:cstheme="minorHAnsi"/>
          <w:b/>
          <w:bCs/>
          <w:i/>
          <w:iCs/>
        </w:rPr>
        <w:t>Some common principles</w:t>
      </w:r>
      <w:r w:rsidR="00DE0543" w:rsidRPr="00CA64FD">
        <w:rPr>
          <w:rFonts w:cstheme="minorHAnsi"/>
          <w:b/>
          <w:bCs/>
          <w:i/>
          <w:iCs/>
        </w:rPr>
        <w:t xml:space="preserve"> </w:t>
      </w:r>
      <w:r w:rsidRPr="00CA64FD">
        <w:rPr>
          <w:rFonts w:cstheme="minorHAnsi"/>
          <w:b/>
          <w:bCs/>
          <w:i/>
          <w:iCs/>
        </w:rPr>
        <w:t xml:space="preserve">for net gain approaches </w:t>
      </w:r>
      <w:r w:rsidR="001E4FFF" w:rsidRPr="00CA64FD">
        <w:rPr>
          <w:rFonts w:cstheme="minorHAnsi"/>
          <w:b/>
          <w:bCs/>
          <w:i/>
          <w:iCs/>
        </w:rPr>
        <w:t>include</w:t>
      </w:r>
      <w:r w:rsidRPr="00CA64FD">
        <w:rPr>
          <w:rFonts w:cstheme="minorHAnsi"/>
          <w:b/>
          <w:bCs/>
          <w:i/>
          <w:iCs/>
        </w:rPr>
        <w:t>:</w:t>
      </w:r>
    </w:p>
    <w:p w14:paraId="0F0FBEFF" w14:textId="38F6940B" w:rsidR="00F17B14" w:rsidRPr="00CA64FD" w:rsidRDefault="00F17B14" w:rsidP="00B07B78">
      <w:pPr>
        <w:pStyle w:val="ListParagraph"/>
        <w:numPr>
          <w:ilvl w:val="0"/>
          <w:numId w:val="1"/>
        </w:numPr>
        <w:spacing w:after="120"/>
        <w:contextualSpacing w:val="0"/>
        <w:rPr>
          <w:rFonts w:cstheme="minorHAnsi"/>
          <w:lang w:val="en-GB"/>
        </w:rPr>
      </w:pPr>
      <w:r w:rsidRPr="00CA64FD">
        <w:rPr>
          <w:rFonts w:cstheme="minorHAnsi"/>
        </w:rPr>
        <w:t xml:space="preserve">High </w:t>
      </w:r>
      <w:r w:rsidR="00B3215D" w:rsidRPr="00CA64FD">
        <w:rPr>
          <w:rFonts w:cstheme="minorHAnsi"/>
        </w:rPr>
        <w:t xml:space="preserve">conservation </w:t>
      </w:r>
      <w:r w:rsidRPr="00CA64FD">
        <w:rPr>
          <w:rFonts w:cstheme="minorHAnsi"/>
        </w:rPr>
        <w:t>value habitats</w:t>
      </w:r>
      <w:r w:rsidR="00AE10A7" w:rsidRPr="00CA64FD">
        <w:rPr>
          <w:rFonts w:cstheme="minorHAnsi"/>
        </w:rPr>
        <w:t xml:space="preserve">, highly intact ecosystems </w:t>
      </w:r>
      <w:r w:rsidR="00A149DE" w:rsidRPr="00CA64FD">
        <w:rPr>
          <w:rFonts w:cstheme="minorHAnsi"/>
        </w:rPr>
        <w:t xml:space="preserve">and </w:t>
      </w:r>
      <w:r w:rsidR="00AE10A7" w:rsidRPr="00CA64FD">
        <w:rPr>
          <w:rFonts w:cstheme="minorHAnsi"/>
        </w:rPr>
        <w:t>sites, sites that are critical to the persistency of biodiversity (</w:t>
      </w:r>
      <w:r w:rsidR="00FC4DB4" w:rsidRPr="00CA64FD">
        <w:rPr>
          <w:rFonts w:cstheme="minorHAnsi"/>
        </w:rPr>
        <w:t xml:space="preserve">such as </w:t>
      </w:r>
      <w:r w:rsidR="00AE10A7" w:rsidRPr="00CA64FD">
        <w:rPr>
          <w:rFonts w:cstheme="minorHAnsi"/>
        </w:rPr>
        <w:t>Key Biodiversity Areas</w:t>
      </w:r>
      <w:r w:rsidR="00CC511B" w:rsidRPr="00CA64FD">
        <w:rPr>
          <w:rFonts w:cstheme="minorHAnsi"/>
        </w:rPr>
        <w:t>, including Alliance for Zero Extinction sites and Important Bird and Biodiversity Areas</w:t>
      </w:r>
      <w:r w:rsidR="00AE10A7" w:rsidRPr="00CA64FD">
        <w:rPr>
          <w:rFonts w:cstheme="minorHAnsi"/>
        </w:rPr>
        <w:t xml:space="preserve">), </w:t>
      </w:r>
      <w:r w:rsidRPr="00CA64FD">
        <w:rPr>
          <w:rFonts w:cstheme="minorHAnsi"/>
        </w:rPr>
        <w:t xml:space="preserve">and rare/unique ecosystems </w:t>
      </w:r>
      <w:r w:rsidR="00B3215D" w:rsidRPr="00CA64FD">
        <w:rPr>
          <w:rFonts w:cstheme="minorHAnsi"/>
        </w:rPr>
        <w:t xml:space="preserve">must </w:t>
      </w:r>
      <w:r w:rsidRPr="00CA64FD">
        <w:rPr>
          <w:rFonts w:cstheme="minorHAnsi"/>
        </w:rPr>
        <w:t xml:space="preserve">be </w:t>
      </w:r>
      <w:r w:rsidR="00B3215D" w:rsidRPr="00CA64FD">
        <w:rPr>
          <w:rFonts w:cstheme="minorHAnsi"/>
        </w:rPr>
        <w:t xml:space="preserve">strictly </w:t>
      </w:r>
      <w:r w:rsidRPr="00CA64FD">
        <w:rPr>
          <w:rFonts w:cstheme="minorHAnsi"/>
        </w:rPr>
        <w:t xml:space="preserve">protected; impacts to those areas should be prohibited to prevent </w:t>
      </w:r>
      <w:r w:rsidR="00B3215D" w:rsidRPr="00CA64FD">
        <w:rPr>
          <w:rFonts w:cstheme="minorHAnsi"/>
        </w:rPr>
        <w:t xml:space="preserve">any </w:t>
      </w:r>
      <w:r w:rsidRPr="00CA64FD">
        <w:rPr>
          <w:rFonts w:cstheme="minorHAnsi"/>
        </w:rPr>
        <w:t xml:space="preserve">further degradation </w:t>
      </w:r>
      <w:r w:rsidR="00B3215D" w:rsidRPr="00CA64FD">
        <w:rPr>
          <w:rFonts w:cstheme="minorHAnsi"/>
        </w:rPr>
        <w:t xml:space="preserve">or </w:t>
      </w:r>
      <w:r w:rsidRPr="00CA64FD">
        <w:rPr>
          <w:rFonts w:cstheme="minorHAnsi"/>
        </w:rPr>
        <w:t xml:space="preserve">loss. </w:t>
      </w:r>
      <w:r w:rsidR="0071508F" w:rsidRPr="00CA64FD">
        <w:rPr>
          <w:rFonts w:cstheme="minorHAnsi"/>
        </w:rPr>
        <w:t>This principle is paramount and is reflected in the area-based conservation measures target (currently Target 2 in the .5 draft).</w:t>
      </w:r>
      <w:r w:rsidR="00AE10A7" w:rsidRPr="00CA64FD">
        <w:rPr>
          <w:rFonts w:cstheme="minorHAnsi"/>
        </w:rPr>
        <w:t xml:space="preserve"> </w:t>
      </w:r>
    </w:p>
    <w:p w14:paraId="5E8B551B" w14:textId="446C6A1D" w:rsidR="006D1ADF" w:rsidRPr="00CA64FD" w:rsidRDefault="001E4FFF" w:rsidP="00B07B78">
      <w:pPr>
        <w:pStyle w:val="ListParagraph"/>
        <w:numPr>
          <w:ilvl w:val="0"/>
          <w:numId w:val="1"/>
        </w:numPr>
        <w:spacing w:after="120"/>
        <w:contextualSpacing w:val="0"/>
        <w:rPr>
          <w:rFonts w:cstheme="minorHAnsi"/>
          <w:lang w:val="en-GB"/>
        </w:rPr>
      </w:pPr>
      <w:r w:rsidRPr="00CA64FD">
        <w:rPr>
          <w:rFonts w:cstheme="minorHAnsi"/>
          <w:lang w:val="en-GB"/>
        </w:rPr>
        <w:t>Economic investments</w:t>
      </w:r>
      <w:r w:rsidR="00F17B14" w:rsidRPr="00CA64FD">
        <w:rPr>
          <w:rFonts w:cstheme="minorHAnsi"/>
          <w:lang w:val="en-GB"/>
        </w:rPr>
        <w:t xml:space="preserve">, such </w:t>
      </w:r>
      <w:r w:rsidR="00F17B14" w:rsidRPr="00CA64FD">
        <w:rPr>
          <w:rFonts w:cstheme="minorHAnsi"/>
        </w:rPr>
        <w:t xml:space="preserve">those in the energy, mining, infrastructure, </w:t>
      </w:r>
      <w:r w:rsidR="00631874" w:rsidRPr="00CA64FD">
        <w:rPr>
          <w:rFonts w:cstheme="minorHAnsi"/>
        </w:rPr>
        <w:t xml:space="preserve">fishing </w:t>
      </w:r>
      <w:r w:rsidR="00F17B14" w:rsidRPr="00CA64FD">
        <w:rPr>
          <w:rFonts w:cstheme="minorHAnsi"/>
        </w:rPr>
        <w:t xml:space="preserve">and commercial agriculture sectors, should </w:t>
      </w:r>
      <w:r w:rsidR="00B3215D" w:rsidRPr="00CA64FD">
        <w:rPr>
          <w:rFonts w:cstheme="minorHAnsi"/>
        </w:rPr>
        <w:t xml:space="preserve">first seek to </w:t>
      </w:r>
      <w:r w:rsidR="00F17B14" w:rsidRPr="00CA64FD">
        <w:rPr>
          <w:rFonts w:cstheme="minorHAnsi"/>
        </w:rPr>
        <w:t xml:space="preserve">avoid and minimize impacts to natural habitats </w:t>
      </w:r>
      <w:r w:rsidR="00E6172F" w:rsidRPr="00CA64FD">
        <w:rPr>
          <w:rFonts w:cstheme="minorHAnsi"/>
        </w:rPr>
        <w:t>(</w:t>
      </w:r>
      <w:r w:rsidR="00AE10A7" w:rsidRPr="00CA64FD">
        <w:rPr>
          <w:rFonts w:cstheme="minorHAnsi"/>
        </w:rPr>
        <w:t xml:space="preserve">both within and </w:t>
      </w:r>
      <w:r w:rsidR="00F17B14" w:rsidRPr="00CA64FD">
        <w:rPr>
          <w:rFonts w:cstheme="minorHAnsi"/>
        </w:rPr>
        <w:t>outside protected areas</w:t>
      </w:r>
      <w:r w:rsidR="00AE10A7" w:rsidRPr="00CA64FD">
        <w:rPr>
          <w:rFonts w:cstheme="minorHAnsi"/>
        </w:rPr>
        <w:t xml:space="preserve"> and OECMs</w:t>
      </w:r>
      <w:r w:rsidR="00E6172F" w:rsidRPr="00CA64FD">
        <w:rPr>
          <w:rFonts w:cstheme="minorHAnsi"/>
        </w:rPr>
        <w:t>)</w:t>
      </w:r>
      <w:r w:rsidR="00F17B14" w:rsidRPr="00CA64FD">
        <w:rPr>
          <w:rFonts w:cstheme="minorHAnsi"/>
        </w:rPr>
        <w:t xml:space="preserve"> to the maximum extent</w:t>
      </w:r>
      <w:r w:rsidR="005E4FFC" w:rsidRPr="00CA64FD">
        <w:rPr>
          <w:rFonts w:cstheme="minorHAnsi"/>
        </w:rPr>
        <w:t xml:space="preserve"> possible,</w:t>
      </w:r>
      <w:r w:rsidR="00FC4DB4" w:rsidRPr="00CA64FD">
        <w:rPr>
          <w:rFonts w:cstheme="minorHAnsi"/>
        </w:rPr>
        <w:t xml:space="preserve"> in accordance with the Mitigation Hierarchy</w:t>
      </w:r>
      <w:r w:rsidR="00F17B14" w:rsidRPr="00CA64FD">
        <w:rPr>
          <w:rFonts w:cstheme="minorHAnsi"/>
        </w:rPr>
        <w:t xml:space="preserve">. </w:t>
      </w:r>
      <w:r w:rsidR="00FC4DB4" w:rsidRPr="00CA64FD">
        <w:rPr>
          <w:rFonts w:cstheme="minorHAnsi"/>
        </w:rPr>
        <w:t>A</w:t>
      </w:r>
      <w:r w:rsidR="00F17B14" w:rsidRPr="00CA64FD">
        <w:rPr>
          <w:rFonts w:cstheme="minorHAnsi"/>
        </w:rPr>
        <w:t xml:space="preserve">lternatives to the proposed </w:t>
      </w:r>
      <w:r w:rsidR="00AE10A7" w:rsidRPr="00CA64FD">
        <w:rPr>
          <w:rFonts w:cstheme="minorHAnsi"/>
        </w:rPr>
        <w:t xml:space="preserve">economic </w:t>
      </w:r>
      <w:r w:rsidR="00F17B14" w:rsidRPr="00CA64FD">
        <w:rPr>
          <w:rFonts w:cstheme="minorHAnsi"/>
        </w:rPr>
        <w:t xml:space="preserve">activity </w:t>
      </w:r>
      <w:r w:rsidR="00AE10A7" w:rsidRPr="00CA64FD">
        <w:rPr>
          <w:rFonts w:cstheme="minorHAnsi"/>
        </w:rPr>
        <w:t xml:space="preserve">must </w:t>
      </w:r>
      <w:r w:rsidR="00F17B14" w:rsidRPr="00CA64FD">
        <w:rPr>
          <w:rFonts w:cstheme="minorHAnsi"/>
        </w:rPr>
        <w:t>be considered</w:t>
      </w:r>
      <w:r w:rsidR="00B3215D" w:rsidRPr="00CA64FD">
        <w:rPr>
          <w:rFonts w:cstheme="minorHAnsi"/>
        </w:rPr>
        <w:t xml:space="preserve"> seriously before any permits are issue</w:t>
      </w:r>
      <w:r w:rsidR="0071508F" w:rsidRPr="00CA64FD">
        <w:rPr>
          <w:rFonts w:cstheme="minorHAnsi"/>
        </w:rPr>
        <w:t>d</w:t>
      </w:r>
      <w:r w:rsidR="00F17B14" w:rsidRPr="00CA64FD">
        <w:rPr>
          <w:rFonts w:cstheme="minorHAnsi"/>
        </w:rPr>
        <w:t>.</w:t>
      </w:r>
      <w:r w:rsidR="006D1ADF" w:rsidRPr="00CA64FD">
        <w:rPr>
          <w:rFonts w:cstheme="minorHAnsi"/>
        </w:rPr>
        <w:t xml:space="preserve"> </w:t>
      </w:r>
    </w:p>
    <w:p w14:paraId="3E9B2978" w14:textId="5CE085C5" w:rsidR="00F17B14" w:rsidRPr="00CA64FD" w:rsidRDefault="00336551" w:rsidP="00B07B78">
      <w:pPr>
        <w:pStyle w:val="ListParagraph"/>
        <w:numPr>
          <w:ilvl w:val="0"/>
          <w:numId w:val="1"/>
        </w:numPr>
        <w:spacing w:after="120"/>
        <w:contextualSpacing w:val="0"/>
        <w:rPr>
          <w:rFonts w:cstheme="minorHAnsi"/>
          <w:lang w:val="en-GB"/>
        </w:rPr>
      </w:pPr>
      <w:r w:rsidRPr="00CA64FD">
        <w:rPr>
          <w:rFonts w:cstheme="minorHAnsi"/>
          <w:lang w:val="en-GB"/>
        </w:rPr>
        <w:t xml:space="preserve">Biodiversity </w:t>
      </w:r>
      <w:r w:rsidR="006D1ADF" w:rsidRPr="00CA64FD">
        <w:rPr>
          <w:rFonts w:cstheme="minorHAnsi"/>
          <w:lang w:val="en-GB"/>
        </w:rPr>
        <w:t>values are difficult and often impossible to restore or replace</w:t>
      </w:r>
      <w:r w:rsidR="00B3215D" w:rsidRPr="00CA64FD">
        <w:rPr>
          <w:rFonts w:cstheme="minorHAnsi"/>
          <w:lang w:val="en-GB"/>
        </w:rPr>
        <w:t xml:space="preserve"> to their pre-disturbance condition in any human time scale</w:t>
      </w:r>
      <w:r w:rsidR="006D1ADF" w:rsidRPr="00CA64FD">
        <w:rPr>
          <w:rFonts w:cstheme="minorHAnsi"/>
          <w:lang w:val="en-GB"/>
        </w:rPr>
        <w:t xml:space="preserve">; </w:t>
      </w:r>
      <w:r w:rsidR="00B3215D" w:rsidRPr="00CA64FD">
        <w:rPr>
          <w:rFonts w:cstheme="minorHAnsi"/>
          <w:lang w:val="en-GB"/>
        </w:rPr>
        <w:t xml:space="preserve">hence the </w:t>
      </w:r>
      <w:r w:rsidR="006D1ADF" w:rsidRPr="00CA64FD">
        <w:rPr>
          <w:rFonts w:cstheme="minorHAnsi"/>
          <w:lang w:val="en-GB"/>
        </w:rPr>
        <w:t>avoidance of loss should always be the first priority</w:t>
      </w:r>
      <w:r w:rsidRPr="00CA64FD">
        <w:rPr>
          <w:rFonts w:cstheme="minorHAnsi"/>
          <w:lang w:val="en-GB"/>
        </w:rPr>
        <w:t xml:space="preserve"> and restoration should be carried out in advance</w:t>
      </w:r>
      <w:r w:rsidR="006E4209" w:rsidRPr="00CA64FD">
        <w:rPr>
          <w:rFonts w:cstheme="minorHAnsi"/>
          <w:lang w:val="en-GB"/>
        </w:rPr>
        <w:t xml:space="preserve"> if possible</w:t>
      </w:r>
      <w:r w:rsidRPr="00CA64FD">
        <w:rPr>
          <w:rFonts w:cstheme="minorHAnsi"/>
          <w:lang w:val="en-GB"/>
        </w:rPr>
        <w:t>.</w:t>
      </w:r>
    </w:p>
    <w:p w14:paraId="53189C3D" w14:textId="6DBB4B20" w:rsidR="00F17B14" w:rsidRPr="00CA64FD" w:rsidRDefault="00F17B14" w:rsidP="00B07B78">
      <w:pPr>
        <w:pStyle w:val="ListParagraph"/>
        <w:numPr>
          <w:ilvl w:val="0"/>
          <w:numId w:val="1"/>
        </w:numPr>
        <w:spacing w:after="120"/>
        <w:contextualSpacing w:val="0"/>
        <w:rPr>
          <w:rFonts w:cstheme="minorHAnsi"/>
          <w:lang w:val="en-GB"/>
        </w:rPr>
      </w:pPr>
      <w:r w:rsidRPr="00CA64FD">
        <w:rPr>
          <w:rFonts w:cstheme="minorHAnsi"/>
          <w:lang w:val="en-GB"/>
        </w:rPr>
        <w:t xml:space="preserve">Any unavoidable impacts to natural ecosystems should be more than compensated by restoration or ecological enhancement </w:t>
      </w:r>
      <w:r w:rsidR="006D1ADF" w:rsidRPr="00CA64FD">
        <w:rPr>
          <w:rFonts w:cstheme="minorHAnsi"/>
          <w:lang w:val="en-GB"/>
        </w:rPr>
        <w:t>in a manner that is sustainable and durable</w:t>
      </w:r>
      <w:r w:rsidR="00B3215D" w:rsidRPr="00CA64FD">
        <w:rPr>
          <w:rFonts w:cstheme="minorHAnsi"/>
          <w:lang w:val="en-GB"/>
        </w:rPr>
        <w:t xml:space="preserve"> and accounts for the risk of failure</w:t>
      </w:r>
      <w:r w:rsidR="00E31D0E" w:rsidRPr="00CA64FD">
        <w:rPr>
          <w:rFonts w:cstheme="minorHAnsi"/>
          <w:lang w:val="en-GB"/>
        </w:rPr>
        <w:t>, whilst recognizing that some impacts to highly intact ecosystems can never be fully compensated</w:t>
      </w:r>
      <w:r w:rsidR="006D1ADF" w:rsidRPr="00CA64FD">
        <w:rPr>
          <w:rFonts w:cstheme="minorHAnsi"/>
          <w:lang w:val="en-GB"/>
        </w:rPr>
        <w:t>.</w:t>
      </w:r>
      <w:r w:rsidR="00B3215D" w:rsidRPr="00CA64FD">
        <w:rPr>
          <w:rFonts w:cstheme="minorHAnsi"/>
          <w:lang w:val="en-GB"/>
        </w:rPr>
        <w:t xml:space="preserve"> </w:t>
      </w:r>
      <w:r w:rsidR="00B254AB" w:rsidRPr="00CA64FD">
        <w:rPr>
          <w:rFonts w:cstheme="minorHAnsi"/>
          <w:lang w:val="en-GB"/>
        </w:rPr>
        <w:t>Compensation</w:t>
      </w:r>
      <w:r w:rsidR="00B3215D" w:rsidRPr="00CA64FD">
        <w:rPr>
          <w:rFonts w:cstheme="minorHAnsi"/>
          <w:lang w:val="en-GB"/>
        </w:rPr>
        <w:t xml:space="preserve"> ratios should include risk buffer</w:t>
      </w:r>
      <w:r w:rsidR="00B254AB" w:rsidRPr="00CA64FD">
        <w:rPr>
          <w:rFonts w:cstheme="minorHAnsi"/>
          <w:lang w:val="en-GB"/>
        </w:rPr>
        <w:t xml:space="preserve">s </w:t>
      </w:r>
      <w:r w:rsidR="00B3215D" w:rsidRPr="00CA64FD">
        <w:rPr>
          <w:rFonts w:cstheme="minorHAnsi"/>
          <w:lang w:val="en-GB"/>
        </w:rPr>
        <w:t xml:space="preserve">and </w:t>
      </w:r>
      <w:r w:rsidR="00B254AB" w:rsidRPr="00CA64FD">
        <w:rPr>
          <w:rFonts w:cstheme="minorHAnsi"/>
          <w:lang w:val="en-GB"/>
        </w:rPr>
        <w:t xml:space="preserve">also </w:t>
      </w:r>
      <w:r w:rsidR="00B3215D" w:rsidRPr="00CA64FD">
        <w:rPr>
          <w:rFonts w:cstheme="minorHAnsi"/>
          <w:lang w:val="en-GB"/>
        </w:rPr>
        <w:t xml:space="preserve">allow for differences in quality, especially </w:t>
      </w:r>
      <w:r w:rsidR="00B254AB" w:rsidRPr="00CA64FD">
        <w:rPr>
          <w:rFonts w:cstheme="minorHAnsi"/>
          <w:lang w:val="en-GB"/>
        </w:rPr>
        <w:t xml:space="preserve">during the early stages of regeneration. In practice, this means that compensation will generally </w:t>
      </w:r>
      <w:r w:rsidR="00B3215D" w:rsidRPr="00CA64FD">
        <w:rPr>
          <w:rFonts w:cstheme="minorHAnsi"/>
          <w:lang w:val="en-GB"/>
        </w:rPr>
        <w:t xml:space="preserve">be </w:t>
      </w:r>
      <w:r w:rsidR="001E4FFF" w:rsidRPr="00CA64FD">
        <w:rPr>
          <w:rFonts w:cstheme="minorHAnsi"/>
          <w:lang w:val="en-GB"/>
        </w:rPr>
        <w:t xml:space="preserve">far </w:t>
      </w:r>
      <w:r w:rsidR="00B3215D" w:rsidRPr="00CA64FD">
        <w:rPr>
          <w:rFonts w:cstheme="minorHAnsi"/>
          <w:lang w:val="en-GB"/>
        </w:rPr>
        <w:t>greater than one-to-one.</w:t>
      </w:r>
    </w:p>
    <w:p w14:paraId="05E8B4E5" w14:textId="2BABC4F8" w:rsidR="00F17B14" w:rsidRPr="00CA64FD" w:rsidRDefault="00F17B14" w:rsidP="00012A7B">
      <w:pPr>
        <w:pStyle w:val="ListParagraph"/>
        <w:numPr>
          <w:ilvl w:val="0"/>
          <w:numId w:val="1"/>
        </w:numPr>
        <w:spacing w:after="120"/>
        <w:contextualSpacing w:val="0"/>
        <w:rPr>
          <w:rFonts w:cstheme="minorHAnsi"/>
          <w:lang w:val="en-GB"/>
        </w:rPr>
      </w:pPr>
      <w:r w:rsidRPr="00CA64FD">
        <w:rPr>
          <w:rFonts w:cstheme="minorHAnsi"/>
        </w:rPr>
        <w:t>Net gain outcomes must leave ecosystem</w:t>
      </w:r>
      <w:r w:rsidR="006E4209" w:rsidRPr="00CA64FD">
        <w:rPr>
          <w:rFonts w:cstheme="minorHAnsi"/>
        </w:rPr>
        <w:t>s</w:t>
      </w:r>
      <w:r w:rsidRPr="00CA64FD">
        <w:rPr>
          <w:rFonts w:cstheme="minorHAnsi"/>
        </w:rPr>
        <w:t xml:space="preserve"> better off (in terms of extent and/or condition) following </w:t>
      </w:r>
      <w:r w:rsidR="00B254AB" w:rsidRPr="00CA64FD">
        <w:rPr>
          <w:rFonts w:cstheme="minorHAnsi"/>
        </w:rPr>
        <w:t xml:space="preserve">the </w:t>
      </w:r>
      <w:r w:rsidR="00E31D0E" w:rsidRPr="00CA64FD">
        <w:rPr>
          <w:rFonts w:cstheme="minorHAnsi"/>
        </w:rPr>
        <w:t xml:space="preserve">economic </w:t>
      </w:r>
      <w:r w:rsidRPr="00CA64FD">
        <w:rPr>
          <w:rFonts w:cstheme="minorHAnsi"/>
        </w:rPr>
        <w:t>activity</w:t>
      </w:r>
      <w:r w:rsidR="00B254AB" w:rsidRPr="00CA64FD">
        <w:rPr>
          <w:rFonts w:cstheme="minorHAnsi"/>
        </w:rPr>
        <w:t>, or for the duration of the activity,</w:t>
      </w:r>
      <w:r w:rsidRPr="00CA64FD">
        <w:rPr>
          <w:rFonts w:cstheme="minorHAnsi"/>
        </w:rPr>
        <w:t xml:space="preserve"> </w:t>
      </w:r>
      <w:proofErr w:type="gramStart"/>
      <w:r w:rsidRPr="00CA64FD">
        <w:rPr>
          <w:rFonts w:cstheme="minorHAnsi"/>
        </w:rPr>
        <w:t>than</w:t>
      </w:r>
      <w:proofErr w:type="gramEnd"/>
      <w:r w:rsidRPr="00CA64FD">
        <w:rPr>
          <w:rFonts w:cstheme="minorHAnsi"/>
        </w:rPr>
        <w:t xml:space="preserve"> before</w:t>
      </w:r>
      <w:r w:rsidR="006E4209" w:rsidRPr="00CA64FD">
        <w:rPr>
          <w:rFonts w:cstheme="minorHAnsi"/>
        </w:rPr>
        <w:t xml:space="preserve"> the activity</w:t>
      </w:r>
      <w:r w:rsidRPr="00CA64FD">
        <w:rPr>
          <w:rFonts w:cstheme="minorHAnsi"/>
        </w:rPr>
        <w:t>.</w:t>
      </w:r>
      <w:r w:rsidR="00B254AB" w:rsidRPr="00CA64FD">
        <w:rPr>
          <w:rFonts w:cstheme="minorHAnsi"/>
        </w:rPr>
        <w:t xml:space="preserve"> This should include </w:t>
      </w:r>
      <w:r w:rsidR="00E31D0E" w:rsidRPr="00CA64FD">
        <w:rPr>
          <w:rFonts w:cstheme="minorHAnsi"/>
        </w:rPr>
        <w:t xml:space="preserve">consideration of </w:t>
      </w:r>
      <w:r w:rsidR="00B254AB" w:rsidRPr="00CA64FD">
        <w:rPr>
          <w:rFonts w:cstheme="minorHAnsi"/>
        </w:rPr>
        <w:t>net gain in ecosystem services to affected communities</w:t>
      </w:r>
      <w:r w:rsidR="006E4209" w:rsidRPr="00CA64FD">
        <w:rPr>
          <w:rFonts w:cstheme="minorHAnsi"/>
        </w:rPr>
        <w:t xml:space="preserve"> and especially to vulnerable groups</w:t>
      </w:r>
      <w:r w:rsidR="00B254AB" w:rsidRPr="00CA64FD">
        <w:rPr>
          <w:rFonts w:cstheme="minorHAnsi"/>
        </w:rPr>
        <w:t>.</w:t>
      </w:r>
    </w:p>
    <w:p w14:paraId="68A14357" w14:textId="5FCE36EE" w:rsidR="00F17B14" w:rsidRPr="00CA64FD" w:rsidRDefault="00F17B14" w:rsidP="0062183C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 w:rsidRPr="00CA64FD">
        <w:rPr>
          <w:rFonts w:cstheme="minorHAnsi"/>
        </w:rPr>
        <w:t xml:space="preserve">Conservation actions to compensate for </w:t>
      </w:r>
      <w:r w:rsidR="00E31D0E" w:rsidRPr="00CA64FD">
        <w:rPr>
          <w:rFonts w:cstheme="minorHAnsi"/>
        </w:rPr>
        <w:t xml:space="preserve">economic </w:t>
      </w:r>
      <w:r w:rsidRPr="00CA64FD">
        <w:rPr>
          <w:rFonts w:cstheme="minorHAnsi"/>
        </w:rPr>
        <w:t xml:space="preserve">activity </w:t>
      </w:r>
      <w:r w:rsidR="004A4604" w:rsidRPr="00CA64FD">
        <w:rPr>
          <w:rFonts w:cstheme="minorHAnsi"/>
        </w:rPr>
        <w:t>should</w:t>
      </w:r>
      <w:r w:rsidRPr="00CA64FD">
        <w:rPr>
          <w:rFonts w:cstheme="minorHAnsi"/>
        </w:rPr>
        <w:t xml:space="preserve"> </w:t>
      </w:r>
      <w:r w:rsidR="00B254AB" w:rsidRPr="00CA64FD">
        <w:rPr>
          <w:rFonts w:cstheme="minorHAnsi"/>
        </w:rPr>
        <w:t xml:space="preserve">ideally take place </w:t>
      </w:r>
      <w:r w:rsidRPr="00CA64FD">
        <w:rPr>
          <w:rFonts w:cstheme="minorHAnsi"/>
        </w:rPr>
        <w:t xml:space="preserve">in the same administrative jurisdiction </w:t>
      </w:r>
      <w:r w:rsidR="00B254AB" w:rsidRPr="00CA64FD">
        <w:rPr>
          <w:rFonts w:cstheme="minorHAnsi"/>
        </w:rPr>
        <w:t>or cultural territory</w:t>
      </w:r>
      <w:r w:rsidRPr="00CA64FD">
        <w:rPr>
          <w:rFonts w:cstheme="minorHAnsi"/>
        </w:rPr>
        <w:t xml:space="preserve"> and ecoregion as the impacts.</w:t>
      </w:r>
      <w:r w:rsidR="006E2A6D" w:rsidRPr="00CA64FD">
        <w:rPr>
          <w:rStyle w:val="FootnoteReference"/>
          <w:rFonts w:cstheme="minorHAnsi"/>
        </w:rPr>
        <w:footnoteReference w:id="2"/>
      </w:r>
      <w:r w:rsidRPr="00CA64FD">
        <w:rPr>
          <w:rFonts w:cstheme="minorHAnsi"/>
        </w:rPr>
        <w:t xml:space="preserve"> </w:t>
      </w:r>
      <w:r w:rsidR="006E4209" w:rsidRPr="00CA64FD">
        <w:rPr>
          <w:rFonts w:cstheme="minorHAnsi"/>
        </w:rPr>
        <w:t>Where this is not possible, net gain outcomes should focus on areas recognized as high conservation priorities.</w:t>
      </w:r>
    </w:p>
    <w:p w14:paraId="02BF6F05" w14:textId="77777777" w:rsidR="0082181B" w:rsidRDefault="0082181B"/>
    <w:p w14:paraId="1A8EAB4F" w14:textId="77777777" w:rsidR="005E6535" w:rsidRDefault="005E6535">
      <w:pPr>
        <w:rPr>
          <w:i/>
          <w:iCs/>
        </w:rPr>
      </w:pPr>
    </w:p>
    <w:p w14:paraId="5CD95CB4" w14:textId="77777777" w:rsidR="005E6535" w:rsidRDefault="005E6535">
      <w:pPr>
        <w:rPr>
          <w:i/>
          <w:iCs/>
        </w:rPr>
      </w:pPr>
    </w:p>
    <w:p w14:paraId="7FBCF2DD" w14:textId="6E4EB742" w:rsidR="00766F92" w:rsidRPr="00B07B78" w:rsidRDefault="00B07B78">
      <w:pPr>
        <w:rPr>
          <w:i/>
          <w:iCs/>
        </w:rPr>
      </w:pPr>
      <w:r w:rsidRPr="00B07B78">
        <w:rPr>
          <w:i/>
          <w:iCs/>
        </w:rPr>
        <w:t>Endnotes</w:t>
      </w:r>
    </w:p>
    <w:sectPr w:rsidR="00766F92" w:rsidRPr="00B07B78" w:rsidSect="0065630C">
      <w:headerReference w:type="default" r:id="rId11"/>
      <w:footnotePr>
        <w:numFmt w:val="chicago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6B8BB" w14:textId="77777777" w:rsidR="00E13B09" w:rsidRDefault="00E13B09" w:rsidP="00CD00B4">
      <w:r>
        <w:separator/>
      </w:r>
    </w:p>
  </w:endnote>
  <w:endnote w:type="continuationSeparator" w:id="0">
    <w:p w14:paraId="09C903EE" w14:textId="77777777" w:rsidR="00E13B09" w:rsidRDefault="00E13B09" w:rsidP="00CD00B4">
      <w:r>
        <w:continuationSeparator/>
      </w:r>
    </w:p>
  </w:endnote>
  <w:endnote w:id="1">
    <w:p w14:paraId="4BCA8826" w14:textId="20D5322B" w:rsidR="00DE0543" w:rsidRDefault="00DE0543">
      <w:pPr>
        <w:pStyle w:val="EndnoteText"/>
      </w:pPr>
      <w:r>
        <w:rPr>
          <w:rStyle w:val="EndnoteReference"/>
        </w:rPr>
        <w:endnoteRef/>
      </w:r>
      <w:r>
        <w:t xml:space="preserve">   </w:t>
      </w:r>
      <w:proofErr w:type="spellStart"/>
      <w:r w:rsidRPr="00C920BD">
        <w:t>Dinerstein</w:t>
      </w:r>
      <w:proofErr w:type="spellEnd"/>
      <w:r w:rsidRPr="00C920BD">
        <w:t xml:space="preserve">, E. </w:t>
      </w:r>
      <w:r w:rsidRPr="00C920BD">
        <w:rPr>
          <w:i/>
          <w:iCs/>
        </w:rPr>
        <w:t>et al.</w:t>
      </w:r>
      <w:r w:rsidRPr="00C920BD">
        <w:t xml:space="preserve"> A Global Deal </w:t>
      </w:r>
      <w:r w:rsidR="00081A3F">
        <w:t>f</w:t>
      </w:r>
      <w:r w:rsidRPr="00C920BD">
        <w:t xml:space="preserve">or Nature: Guiding principles, milestones, and targets. </w:t>
      </w:r>
      <w:r w:rsidRPr="00C920BD">
        <w:rPr>
          <w:i/>
          <w:iCs/>
        </w:rPr>
        <w:t>Science Advances</w:t>
      </w:r>
      <w:r w:rsidRPr="00C920BD">
        <w:t xml:space="preserve"> </w:t>
      </w:r>
      <w:r w:rsidRPr="00C920BD">
        <w:rPr>
          <w:b/>
          <w:bCs/>
        </w:rPr>
        <w:t>5</w:t>
      </w:r>
      <w:r w:rsidRPr="00C920BD">
        <w:t xml:space="preserve">, eaaw2869 (2019). </w:t>
      </w:r>
    </w:p>
  </w:endnote>
  <w:endnote w:id="2">
    <w:p w14:paraId="589B7A28" w14:textId="3F188FC6" w:rsidR="00DE0543" w:rsidRPr="00D66EF3" w:rsidRDefault="00DE0543">
      <w:pPr>
        <w:pStyle w:val="EndnoteText"/>
        <w:rPr>
          <w:b/>
          <w:bCs/>
        </w:rPr>
      </w:pPr>
      <w:r>
        <w:rPr>
          <w:rStyle w:val="EndnoteReference"/>
        </w:rPr>
        <w:endnoteRef/>
      </w:r>
      <w:r>
        <w:t xml:space="preserve"> </w:t>
      </w:r>
      <w:r w:rsidR="00D66EF3">
        <w:t xml:space="preserve">    </w:t>
      </w:r>
      <w:r w:rsidR="00D66EF3" w:rsidRPr="00BA3406">
        <w:t xml:space="preserve">Stephen Woodley, Harvey Locke, Dan </w:t>
      </w:r>
      <w:proofErr w:type="spellStart"/>
      <w:r w:rsidR="00D66EF3" w:rsidRPr="00BA3406">
        <w:t>Laffoley</w:t>
      </w:r>
      <w:proofErr w:type="spellEnd"/>
      <w:r w:rsidR="00D66EF3" w:rsidRPr="00BA3406">
        <w:t xml:space="preserve">, Kathy MacKinnon, Trevor </w:t>
      </w:r>
      <w:proofErr w:type="spellStart"/>
      <w:r w:rsidR="00D66EF3" w:rsidRPr="00BA3406">
        <w:t>Sandwith</w:t>
      </w:r>
      <w:proofErr w:type="spellEnd"/>
      <w:r w:rsidR="00D66EF3" w:rsidRPr="00BA3406">
        <w:t xml:space="preserve"> and Jane Smart</w:t>
      </w:r>
      <w:r w:rsidR="00D66EF3">
        <w:t xml:space="preserve">. </w:t>
      </w:r>
      <w:r w:rsidR="00D66EF3" w:rsidRPr="00BA3406">
        <w:t xml:space="preserve">A Review </w:t>
      </w:r>
      <w:r w:rsidR="00D66EF3">
        <w:t>o</w:t>
      </w:r>
      <w:r w:rsidR="00D66EF3" w:rsidRPr="00BA3406">
        <w:t xml:space="preserve">f Evidence </w:t>
      </w:r>
      <w:r w:rsidR="00D66EF3">
        <w:t>f</w:t>
      </w:r>
      <w:r w:rsidR="00D66EF3" w:rsidRPr="00BA3406">
        <w:t xml:space="preserve">or Area‐Based Conservation Targets </w:t>
      </w:r>
      <w:r w:rsidR="00D66EF3">
        <w:t>f</w:t>
      </w:r>
      <w:r w:rsidR="00D66EF3" w:rsidRPr="00BA3406">
        <w:t xml:space="preserve">or </w:t>
      </w:r>
      <w:r w:rsidR="00D66EF3">
        <w:t>t</w:t>
      </w:r>
      <w:r w:rsidR="00D66EF3" w:rsidRPr="00BA3406">
        <w:t>he Post‐2020 Global Biodiversity Framework</w:t>
      </w:r>
      <w:r w:rsidR="00D66EF3">
        <w:t xml:space="preserve">. </w:t>
      </w:r>
      <w:r w:rsidR="00D66EF3">
        <w:rPr>
          <w:i/>
          <w:iCs/>
        </w:rPr>
        <w:t>PARKS</w:t>
      </w:r>
      <w:r w:rsidR="00D66EF3">
        <w:t xml:space="preserve"> vol. 25, (November 2019)</w:t>
      </w:r>
      <w:r w:rsidR="00D66EF3">
        <w:rPr>
          <w:b/>
          <w:bCs/>
        </w:rPr>
        <w:t>.</w:t>
      </w:r>
    </w:p>
  </w:endnote>
  <w:endnote w:id="3">
    <w:p w14:paraId="0F2BD279" w14:textId="2C11B9FB" w:rsidR="00D66EF3" w:rsidRDefault="00D66EF3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B30C2D">
        <w:t>Allan, James R.</w:t>
      </w:r>
      <w:r>
        <w:t xml:space="preserve">, </w:t>
      </w:r>
      <w:r w:rsidRPr="00B30C2D">
        <w:t xml:space="preserve">Hugh P. </w:t>
      </w:r>
      <w:proofErr w:type="spellStart"/>
      <w:r w:rsidRPr="00B30C2D">
        <w:t>Possingham</w:t>
      </w:r>
      <w:proofErr w:type="spellEnd"/>
      <w:r w:rsidRPr="00B30C2D">
        <w:t xml:space="preserve">, Scott C. Atkinson, Anthony Waldron, Moreno Di Marco, Vanessa M. Adams, Stuart H. M. Butchart, Oscar Venter, Martine Maron, Brooke A. Williams, Kendall R. Jones, Piero Visconti, Brendan A. </w:t>
      </w:r>
      <w:proofErr w:type="spellStart"/>
      <w:r w:rsidRPr="00B30C2D">
        <w:t>Wintle</w:t>
      </w:r>
      <w:proofErr w:type="spellEnd"/>
      <w:r w:rsidRPr="00B30C2D">
        <w:t xml:space="preserve">, April E. Reside, James E.M. Watson. Conservation attention necessary across at least 44% of Earth’s terrestrial area to safeguard biodiversity. </w:t>
      </w:r>
      <w:r>
        <w:t xml:space="preserve">Biorxiv.org </w:t>
      </w:r>
      <w:r w:rsidRPr="00B30C2D">
        <w:t xml:space="preserve">Preprint. </w:t>
      </w:r>
      <w:proofErr w:type="spellStart"/>
      <w:r w:rsidRPr="00B30C2D">
        <w:t>doi</w:t>
      </w:r>
      <w:proofErr w:type="spellEnd"/>
      <w:r w:rsidRPr="00B30C2D">
        <w:t>: https://doi.org/10.1101/839977.</w:t>
      </w:r>
    </w:p>
  </w:endnote>
  <w:endnote w:id="4">
    <w:p w14:paraId="41848085" w14:textId="5AE55C45" w:rsidR="00D66EF3" w:rsidRDefault="00D66EF3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B166E5">
        <w:t>Jones, K. R. </w:t>
      </w:r>
      <w:r w:rsidRPr="00B166E5">
        <w:rPr>
          <w:i/>
          <w:iCs/>
        </w:rPr>
        <w:t>et al.</w:t>
      </w:r>
      <w:r w:rsidRPr="00B166E5">
        <w:t> Area Requirements to Safeguard Earth’s Marine Species. </w:t>
      </w:r>
      <w:r w:rsidRPr="00B166E5">
        <w:rPr>
          <w:i/>
          <w:iCs/>
        </w:rPr>
        <w:t>One Earth</w:t>
      </w:r>
      <w:r w:rsidRPr="00B166E5">
        <w:t> 2, 188–196 (2020).</w:t>
      </w:r>
    </w:p>
  </w:endnote>
  <w:endnote w:id="5">
    <w:p w14:paraId="123486C2" w14:textId="438D9894" w:rsidR="00295EA1" w:rsidRDefault="00295EA1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1" w:history="1">
        <w:r w:rsidRPr="005F0372">
          <w:rPr>
            <w:rStyle w:val="Hyperlink"/>
          </w:rPr>
          <w:t>http://www.fao.org/state-of-fisheries-aquaculture</w:t>
        </w:r>
      </w:hyperlink>
      <w:r w:rsidR="00BC2FCF">
        <w:rPr>
          <w:rStyle w:val="Hyperlink"/>
        </w:rPr>
        <w:t>.</w:t>
      </w:r>
    </w:p>
  </w:endnote>
  <w:endnote w:id="6">
    <w:p w14:paraId="379DD798" w14:textId="60E2A52F" w:rsidR="00DE0543" w:rsidRPr="007A1DCB" w:rsidRDefault="00DE0543" w:rsidP="007A1DCB">
      <w:pPr>
        <w:rPr>
          <w:rFonts w:ascii="Times New Roman" w:eastAsia="Times New Roman" w:hAnsi="Times New Roman" w:cs="Times New Roman"/>
        </w:rPr>
      </w:pPr>
      <w:r>
        <w:rPr>
          <w:rStyle w:val="EndnoteReference"/>
        </w:rPr>
        <w:endnoteRef/>
      </w:r>
      <w:r>
        <w:t xml:space="preserve"> </w:t>
      </w:r>
      <w:r w:rsidRPr="007A1DCB">
        <w:rPr>
          <w:rFonts w:ascii="Calibri" w:eastAsia="Times New Roman" w:hAnsi="Calibri" w:cs="Calibri"/>
          <w:color w:val="000000"/>
          <w:sz w:val="20"/>
          <w:szCs w:val="20"/>
        </w:rPr>
        <w:t xml:space="preserve">Deutz, A., Heal, G., </w:t>
      </w:r>
      <w:proofErr w:type="spellStart"/>
      <w:r w:rsidRPr="007A1DCB">
        <w:rPr>
          <w:rFonts w:ascii="Calibri" w:eastAsia="Times New Roman" w:hAnsi="Calibri" w:cs="Calibri"/>
          <w:color w:val="000000"/>
          <w:sz w:val="20"/>
          <w:szCs w:val="20"/>
        </w:rPr>
        <w:t>Niu</w:t>
      </w:r>
      <w:proofErr w:type="spellEnd"/>
      <w:r w:rsidRPr="007A1DCB">
        <w:rPr>
          <w:rFonts w:ascii="Calibri" w:eastAsia="Times New Roman" w:hAnsi="Calibri" w:cs="Calibri"/>
          <w:color w:val="000000"/>
          <w:sz w:val="20"/>
          <w:szCs w:val="20"/>
        </w:rPr>
        <w:t xml:space="preserve"> R., Swanson, E., Townshend T., Zhu L., Delmar, A., </w:t>
      </w:r>
      <w:proofErr w:type="spellStart"/>
      <w:r w:rsidRPr="007A1DCB">
        <w:rPr>
          <w:rFonts w:ascii="Calibri" w:eastAsia="Times New Roman" w:hAnsi="Calibri" w:cs="Calibri"/>
          <w:color w:val="000000"/>
          <w:sz w:val="20"/>
          <w:szCs w:val="20"/>
        </w:rPr>
        <w:t>Meghji</w:t>
      </w:r>
      <w:proofErr w:type="spellEnd"/>
      <w:r w:rsidRPr="007A1DCB">
        <w:rPr>
          <w:rFonts w:ascii="Calibri" w:eastAsia="Times New Roman" w:hAnsi="Calibri" w:cs="Calibri"/>
          <w:color w:val="000000"/>
          <w:sz w:val="20"/>
          <w:szCs w:val="20"/>
        </w:rPr>
        <w:t xml:space="preserve">, A., </w:t>
      </w:r>
      <w:proofErr w:type="spellStart"/>
      <w:r w:rsidRPr="007A1DCB">
        <w:rPr>
          <w:rFonts w:ascii="Calibri" w:eastAsia="Times New Roman" w:hAnsi="Calibri" w:cs="Calibri"/>
          <w:color w:val="000000"/>
          <w:sz w:val="20"/>
          <w:szCs w:val="20"/>
        </w:rPr>
        <w:t>Sethi</w:t>
      </w:r>
      <w:proofErr w:type="spellEnd"/>
      <w:r w:rsidRPr="007A1DCB">
        <w:rPr>
          <w:rFonts w:ascii="Calibri" w:eastAsia="Times New Roman" w:hAnsi="Calibri" w:cs="Calibri"/>
          <w:color w:val="000000"/>
          <w:sz w:val="20"/>
          <w:szCs w:val="20"/>
        </w:rPr>
        <w:t>, S., Tobin-de la Puente, J. 2020. Financing Nature: Closing the global biodiversity financing gap. The Paulson Institute, The Nature Conservancy, and Cornell Atkinson Center for Sustainability. </w:t>
      </w:r>
    </w:p>
  </w:endnote>
  <w:endnote w:id="7">
    <w:p w14:paraId="1268AD8F" w14:textId="1E8B068B" w:rsidR="00DE0543" w:rsidRDefault="00DE0543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7A1DCB">
        <w:t xml:space="preserve">Watson, J.E., Jones, K.R., Fuller, R.A., Marco, M.D., </w:t>
      </w:r>
      <w:proofErr w:type="spellStart"/>
      <w:r w:rsidRPr="007A1DCB">
        <w:t>Segan</w:t>
      </w:r>
      <w:proofErr w:type="spellEnd"/>
      <w:r w:rsidRPr="007A1DCB">
        <w:t>, D.B., Butchart, S.H., Allan, J.R., McDonald‐Madden, E. and Venter, O. (2016), Persistent Disparities between Recent Rates of Habitat Conversion and Protection and Implications for Future Global Conservation Targets. CONSERVATION LETTERS, 9: 413-421. doi:</w:t>
      </w:r>
      <w:hyperlink r:id="rId2" w:history="1">
        <w:r w:rsidRPr="007A1DCB">
          <w:rPr>
            <w:rStyle w:val="Hyperlink"/>
          </w:rPr>
          <w:t>10.1111/conl.12295</w:t>
        </w:r>
      </w:hyperlink>
    </w:p>
  </w:endnote>
  <w:endnote w:id="8">
    <w:p w14:paraId="438A2393" w14:textId="21729367" w:rsidR="00453702" w:rsidRDefault="00453702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3" w:history="1">
        <w:r w:rsidRPr="005F0372">
          <w:rPr>
            <w:rStyle w:val="Hyperlink"/>
          </w:rPr>
          <w:t>https://worldoceanreview.com/en/wor-2/fisheries/illegal-fishing/</w:t>
        </w:r>
      </w:hyperlink>
      <w:r>
        <w:t>.</w:t>
      </w:r>
    </w:p>
  </w:endnote>
  <w:endnote w:id="9">
    <w:p w14:paraId="13755C62" w14:textId="3E30C5F3" w:rsidR="00453702" w:rsidRDefault="00453702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53702">
        <w:t xml:space="preserve">Maron, M., Simmonds, J. S., Watson, J. E. M., </w:t>
      </w:r>
      <w:proofErr w:type="spellStart"/>
      <w:r w:rsidRPr="00453702">
        <w:t>Sonter</w:t>
      </w:r>
      <w:proofErr w:type="spellEnd"/>
      <w:r w:rsidRPr="00453702">
        <w:t xml:space="preserve">, L. J., </w:t>
      </w:r>
      <w:proofErr w:type="spellStart"/>
      <w:r w:rsidRPr="00453702">
        <w:t>Bennun</w:t>
      </w:r>
      <w:proofErr w:type="spellEnd"/>
      <w:r w:rsidRPr="00453702">
        <w:t xml:space="preserve">, L., Griffiths, V. F., </w:t>
      </w:r>
      <w:proofErr w:type="spellStart"/>
      <w:r w:rsidRPr="00453702">
        <w:t>Quétier</w:t>
      </w:r>
      <w:proofErr w:type="spellEnd"/>
      <w:r w:rsidRPr="00453702">
        <w:t xml:space="preserve">, F., </w:t>
      </w:r>
      <w:proofErr w:type="spellStart"/>
      <w:r w:rsidRPr="00453702">
        <w:t>Hase</w:t>
      </w:r>
      <w:proofErr w:type="spellEnd"/>
      <w:r w:rsidRPr="00453702">
        <w:t xml:space="preserve">, A. von, Edwards, S., Rainey, H., Bull, J. W., </w:t>
      </w:r>
      <w:proofErr w:type="spellStart"/>
      <w:r w:rsidRPr="00453702">
        <w:t>Savy</w:t>
      </w:r>
      <w:proofErr w:type="spellEnd"/>
      <w:r w:rsidRPr="00453702">
        <w:t xml:space="preserve">, C. E., </w:t>
      </w:r>
      <w:proofErr w:type="spellStart"/>
      <w:r w:rsidRPr="00453702">
        <w:t>Victurine</w:t>
      </w:r>
      <w:proofErr w:type="spellEnd"/>
      <w:r w:rsidRPr="00453702">
        <w:t xml:space="preserve">, R., </w:t>
      </w:r>
      <w:proofErr w:type="spellStart"/>
      <w:r w:rsidRPr="00453702">
        <w:t>Kiesecker</w:t>
      </w:r>
      <w:proofErr w:type="spellEnd"/>
      <w:r w:rsidRPr="00453702">
        <w:t xml:space="preserve">, J., </w:t>
      </w:r>
      <w:proofErr w:type="spellStart"/>
      <w:r w:rsidRPr="00453702">
        <w:t>Puydarrieux</w:t>
      </w:r>
      <w:proofErr w:type="spellEnd"/>
      <w:r w:rsidRPr="00453702">
        <w:t xml:space="preserve">, P., Stevens, T., </w:t>
      </w:r>
      <w:proofErr w:type="spellStart"/>
      <w:r w:rsidRPr="00453702">
        <w:t>Cozannet</w:t>
      </w:r>
      <w:proofErr w:type="spellEnd"/>
      <w:r w:rsidRPr="00453702">
        <w:t xml:space="preserve">, N., &amp; Jones, J. P. G. (2019). Global no net loss of natural ecosystems. </w:t>
      </w:r>
      <w:r w:rsidRPr="00453702">
        <w:rPr>
          <w:i/>
          <w:iCs/>
        </w:rPr>
        <w:t>Nature Ecology &amp; Evolution</w:t>
      </w:r>
      <w:r w:rsidRPr="00453702">
        <w:t>, 1–4. https://doi.org/10.1038/s41559-019-1067-z</w:t>
      </w:r>
      <w:r w:rsidR="005E6535">
        <w:t>.</w:t>
      </w:r>
    </w:p>
  </w:endnote>
  <w:endnote w:id="10">
    <w:p w14:paraId="2C4F7C96" w14:textId="01032F84" w:rsidR="002A7137" w:rsidRDefault="002A7137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7A1DCB">
        <w:t xml:space="preserve">Watson, J.E., Jones, K.R., Fuller, R.A., Marco, M.D., </w:t>
      </w:r>
      <w:proofErr w:type="spellStart"/>
      <w:r w:rsidRPr="007A1DCB">
        <w:t>Segan</w:t>
      </w:r>
      <w:proofErr w:type="spellEnd"/>
      <w:r w:rsidRPr="007A1DCB">
        <w:t>, D.B., Butchart, S.H., Allan, J.R., McDonald‐Madden, E. and Venter, O. (2016), Persistent Disparities between Recent Rates of Habitat Conversion and Protection and Implications for Future Global Conservation Targets. CONSERVATION LETTERS, 9: 413-421. doi:</w:t>
      </w:r>
      <w:hyperlink r:id="rId4" w:history="1">
        <w:r w:rsidRPr="007A1DCB">
          <w:rPr>
            <w:rStyle w:val="Hyperlink"/>
          </w:rPr>
          <w:t>10.1111/conl.12295</w:t>
        </w:r>
      </w:hyperlink>
    </w:p>
  </w:endnote>
  <w:endnote w:id="11">
    <w:p w14:paraId="2AC2D9E2" w14:textId="252EC7DE" w:rsidR="00DE0543" w:rsidRDefault="00DE0543">
      <w:pPr>
        <w:pStyle w:val="EndnoteText"/>
      </w:pPr>
      <w:r w:rsidRPr="00E712C7">
        <w:rPr>
          <w:rStyle w:val="EndnoteReference"/>
          <w:rFonts w:cstheme="minorHAnsi"/>
        </w:rPr>
        <w:endnoteRef/>
      </w:r>
      <w:r w:rsidRPr="00E712C7">
        <w:rPr>
          <w:rFonts w:cstheme="minorHAnsi"/>
        </w:rPr>
        <w:t xml:space="preserve"> Mappin, B., </w:t>
      </w:r>
      <w:proofErr w:type="spellStart"/>
      <w:r w:rsidRPr="00E712C7">
        <w:rPr>
          <w:rFonts w:cstheme="minorHAnsi"/>
        </w:rPr>
        <w:t>Chauvenet</w:t>
      </w:r>
      <w:proofErr w:type="spellEnd"/>
      <w:r w:rsidRPr="00E712C7">
        <w:rPr>
          <w:rFonts w:cstheme="minorHAnsi"/>
        </w:rPr>
        <w:t xml:space="preserve">, A., Adams, V., Marco, M., Beyer, H., Venter, O., Halpern, B., </w:t>
      </w:r>
      <w:proofErr w:type="spellStart"/>
      <w:r w:rsidRPr="00E712C7">
        <w:rPr>
          <w:rFonts w:cstheme="minorHAnsi"/>
        </w:rPr>
        <w:t>Possingham</w:t>
      </w:r>
      <w:proofErr w:type="spellEnd"/>
      <w:r w:rsidRPr="00E712C7">
        <w:rPr>
          <w:rFonts w:cstheme="minorHAnsi"/>
        </w:rPr>
        <w:t>, H., Watson, J. (2019). Restoration priorities to achieve the global protected area target Conservation Letters 12(4), e12646. https://dx.doi.org/10.1111/conl.12646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EDABF" w14:textId="77777777" w:rsidR="00E13B09" w:rsidRDefault="00E13B09" w:rsidP="00CD00B4">
      <w:r>
        <w:separator/>
      </w:r>
    </w:p>
  </w:footnote>
  <w:footnote w:type="continuationSeparator" w:id="0">
    <w:p w14:paraId="5CB32760" w14:textId="77777777" w:rsidR="00E13B09" w:rsidRDefault="00E13B09" w:rsidP="00CD00B4">
      <w:r>
        <w:continuationSeparator/>
      </w:r>
    </w:p>
  </w:footnote>
  <w:footnote w:id="1">
    <w:p w14:paraId="71538D82" w14:textId="31768A50" w:rsidR="0013362C" w:rsidRPr="00E712C7" w:rsidRDefault="0013362C" w:rsidP="005D3055">
      <w:pPr>
        <w:pStyle w:val="NormalWeb"/>
        <w:spacing w:after="0" w:afterAutospacing="0"/>
        <w:rPr>
          <w:rFonts w:asciiTheme="minorHAnsi" w:hAnsiTheme="minorHAnsi" w:cstheme="minorHAnsi"/>
          <w:sz w:val="20"/>
          <w:szCs w:val="20"/>
        </w:rPr>
      </w:pPr>
      <w:r w:rsidRPr="00E712C7">
        <w:rPr>
          <w:rStyle w:val="FootnoteReference"/>
          <w:sz w:val="20"/>
          <w:szCs w:val="20"/>
        </w:rPr>
        <w:footnoteRef/>
      </w:r>
      <w:r w:rsidRPr="00E712C7">
        <w:rPr>
          <w:sz w:val="20"/>
          <w:szCs w:val="20"/>
        </w:rPr>
        <w:t xml:space="preserve"> </w:t>
      </w:r>
      <w:r w:rsidRPr="00E712C7">
        <w:rPr>
          <w:rFonts w:asciiTheme="minorHAnsi" w:hAnsiTheme="minorHAnsi" w:cstheme="minorHAnsi"/>
          <w:sz w:val="20"/>
          <w:szCs w:val="20"/>
        </w:rPr>
        <w:t>Target 1: Retain and restore freshwater, marine and terrestrial ecosystems, increasing by at least [50%] the land and sea area under comprehensive spatial planning addressing land/sea use change, achieving by 2030 a net increase in area, connectivity and integrity and retaining existing intact areas and wilderness.</w:t>
      </w:r>
    </w:p>
  </w:footnote>
  <w:footnote w:id="2">
    <w:p w14:paraId="049C37D0" w14:textId="3DD95B09" w:rsidR="006E2A6D" w:rsidRDefault="006E2A6D">
      <w:pPr>
        <w:pStyle w:val="FootnoteText"/>
      </w:pPr>
      <w:r>
        <w:rPr>
          <w:rStyle w:val="FootnoteReference"/>
        </w:rPr>
        <w:footnoteRef/>
      </w:r>
      <w:r>
        <w:t xml:space="preserve"> While this discussion of net refers to an ecoregional/global scale, its implementation necessarily requires local actions. A robust discussion of application at different scales can be found in [forthcoming] Milner-Gulland et al. “Four Steps for the Earth: Mainstreaming the post-2020 Global Biodiversity Framework.”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05E3C" w14:textId="0979CE30" w:rsidR="00E712C7" w:rsidRPr="00E712C7" w:rsidRDefault="00E712C7" w:rsidP="00E712C7">
    <w:pPr>
      <w:pStyle w:val="Header"/>
      <w:jc w:val="right"/>
      <w:rPr>
        <w:i/>
        <w:iCs/>
      </w:rPr>
    </w:pPr>
    <w:r w:rsidRPr="00E712C7">
      <w:rPr>
        <w:i/>
        <w:iCs/>
      </w:rPr>
      <w:t xml:space="preserve">“Net” Task Force </w:t>
    </w:r>
    <w:r w:rsidR="007406FB">
      <w:rPr>
        <w:i/>
        <w:iCs/>
      </w:rPr>
      <w:t xml:space="preserve">paper </w:t>
    </w:r>
    <w:r w:rsidR="00C920BD">
      <w:rPr>
        <w:i/>
        <w:iCs/>
      </w:rPr>
      <w:t>October</w:t>
    </w:r>
    <w:r w:rsidRPr="00E712C7">
      <w:rPr>
        <w:i/>
        <w:iCs/>
      </w:rPr>
      <w:t xml:space="preserve"> </w:t>
    </w:r>
    <w:r w:rsidR="007406FB">
      <w:rPr>
        <w:i/>
        <w:iCs/>
      </w:rPr>
      <w:t>20</w:t>
    </w:r>
    <w:r w:rsidRPr="00E712C7">
      <w:rPr>
        <w:i/>
        <w:iCs/>
      </w:rPr>
      <w:t>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7546F4"/>
    <w:multiLevelType w:val="hybridMultilevel"/>
    <w:tmpl w:val="5E2E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766"/>
    <w:rsid w:val="00012A7B"/>
    <w:rsid w:val="000600D3"/>
    <w:rsid w:val="00081A3F"/>
    <w:rsid w:val="000840B9"/>
    <w:rsid w:val="00090F2D"/>
    <w:rsid w:val="0009448B"/>
    <w:rsid w:val="000C4349"/>
    <w:rsid w:val="000D6DDC"/>
    <w:rsid w:val="000F27FF"/>
    <w:rsid w:val="0013362C"/>
    <w:rsid w:val="001449EF"/>
    <w:rsid w:val="001822AA"/>
    <w:rsid w:val="001E4FFF"/>
    <w:rsid w:val="001F5718"/>
    <w:rsid w:val="00220BA3"/>
    <w:rsid w:val="00240055"/>
    <w:rsid w:val="00241596"/>
    <w:rsid w:val="00251330"/>
    <w:rsid w:val="00264FE3"/>
    <w:rsid w:val="00270439"/>
    <w:rsid w:val="002834F7"/>
    <w:rsid w:val="00295EA1"/>
    <w:rsid w:val="002A7137"/>
    <w:rsid w:val="002B253A"/>
    <w:rsid w:val="002D0A39"/>
    <w:rsid w:val="002E6449"/>
    <w:rsid w:val="002F2E90"/>
    <w:rsid w:val="0030174D"/>
    <w:rsid w:val="00336551"/>
    <w:rsid w:val="00336800"/>
    <w:rsid w:val="00393AAC"/>
    <w:rsid w:val="003D06D0"/>
    <w:rsid w:val="003D1923"/>
    <w:rsid w:val="003D5EEF"/>
    <w:rsid w:val="003F4E97"/>
    <w:rsid w:val="003F4FF0"/>
    <w:rsid w:val="004235D8"/>
    <w:rsid w:val="004469DE"/>
    <w:rsid w:val="00453702"/>
    <w:rsid w:val="0046015F"/>
    <w:rsid w:val="00464F6A"/>
    <w:rsid w:val="00476DA6"/>
    <w:rsid w:val="004A4604"/>
    <w:rsid w:val="004A508F"/>
    <w:rsid w:val="004C4CC8"/>
    <w:rsid w:val="00557818"/>
    <w:rsid w:val="00581756"/>
    <w:rsid w:val="00585395"/>
    <w:rsid w:val="005A1769"/>
    <w:rsid w:val="005B5781"/>
    <w:rsid w:val="005D0EE3"/>
    <w:rsid w:val="005D3055"/>
    <w:rsid w:val="005E4FFC"/>
    <w:rsid w:val="005E6535"/>
    <w:rsid w:val="005F6047"/>
    <w:rsid w:val="00614728"/>
    <w:rsid w:val="0062183C"/>
    <w:rsid w:val="00631874"/>
    <w:rsid w:val="0063433C"/>
    <w:rsid w:val="0065630C"/>
    <w:rsid w:val="00697832"/>
    <w:rsid w:val="006B0DE1"/>
    <w:rsid w:val="006C3D53"/>
    <w:rsid w:val="006D1ADF"/>
    <w:rsid w:val="006E2A6D"/>
    <w:rsid w:val="006E4209"/>
    <w:rsid w:val="006E51AB"/>
    <w:rsid w:val="00714828"/>
    <w:rsid w:val="00714A6F"/>
    <w:rsid w:val="0071508F"/>
    <w:rsid w:val="00726844"/>
    <w:rsid w:val="007364F2"/>
    <w:rsid w:val="007406FB"/>
    <w:rsid w:val="00746D60"/>
    <w:rsid w:val="00766F92"/>
    <w:rsid w:val="007768B1"/>
    <w:rsid w:val="007800A6"/>
    <w:rsid w:val="007A1DCB"/>
    <w:rsid w:val="007E3CB5"/>
    <w:rsid w:val="007E74A2"/>
    <w:rsid w:val="007F4EFF"/>
    <w:rsid w:val="00806C1D"/>
    <w:rsid w:val="00806EBC"/>
    <w:rsid w:val="00806F72"/>
    <w:rsid w:val="0082181B"/>
    <w:rsid w:val="008636B0"/>
    <w:rsid w:val="00896F11"/>
    <w:rsid w:val="008C0A87"/>
    <w:rsid w:val="009546A3"/>
    <w:rsid w:val="009759D8"/>
    <w:rsid w:val="009C0C60"/>
    <w:rsid w:val="009C3C89"/>
    <w:rsid w:val="009E453C"/>
    <w:rsid w:val="00A149DE"/>
    <w:rsid w:val="00A31D81"/>
    <w:rsid w:val="00A418ED"/>
    <w:rsid w:val="00A62022"/>
    <w:rsid w:val="00A866D0"/>
    <w:rsid w:val="00AB5DEB"/>
    <w:rsid w:val="00AE10A7"/>
    <w:rsid w:val="00AF7766"/>
    <w:rsid w:val="00B07B78"/>
    <w:rsid w:val="00B1598D"/>
    <w:rsid w:val="00B166E5"/>
    <w:rsid w:val="00B254AB"/>
    <w:rsid w:val="00B30C2D"/>
    <w:rsid w:val="00B3215D"/>
    <w:rsid w:val="00B51408"/>
    <w:rsid w:val="00B72069"/>
    <w:rsid w:val="00BA3406"/>
    <w:rsid w:val="00BB20D6"/>
    <w:rsid w:val="00BC2FCF"/>
    <w:rsid w:val="00BC4544"/>
    <w:rsid w:val="00BE3533"/>
    <w:rsid w:val="00C070CC"/>
    <w:rsid w:val="00C1539E"/>
    <w:rsid w:val="00C30107"/>
    <w:rsid w:val="00C53DFB"/>
    <w:rsid w:val="00C768AF"/>
    <w:rsid w:val="00C920BD"/>
    <w:rsid w:val="00CA64FD"/>
    <w:rsid w:val="00CB3D8F"/>
    <w:rsid w:val="00CC4221"/>
    <w:rsid w:val="00CC511B"/>
    <w:rsid w:val="00CD00B4"/>
    <w:rsid w:val="00D3445B"/>
    <w:rsid w:val="00D66EF3"/>
    <w:rsid w:val="00D7364A"/>
    <w:rsid w:val="00DE0543"/>
    <w:rsid w:val="00E13B09"/>
    <w:rsid w:val="00E31D0E"/>
    <w:rsid w:val="00E3262B"/>
    <w:rsid w:val="00E33A4E"/>
    <w:rsid w:val="00E419E8"/>
    <w:rsid w:val="00E54571"/>
    <w:rsid w:val="00E6053A"/>
    <w:rsid w:val="00E6172F"/>
    <w:rsid w:val="00E639FE"/>
    <w:rsid w:val="00E712C7"/>
    <w:rsid w:val="00E76D2F"/>
    <w:rsid w:val="00EE3FEE"/>
    <w:rsid w:val="00EE6C5F"/>
    <w:rsid w:val="00EF3A4F"/>
    <w:rsid w:val="00F17B14"/>
    <w:rsid w:val="00F24BB6"/>
    <w:rsid w:val="00F305E3"/>
    <w:rsid w:val="00F3489F"/>
    <w:rsid w:val="00F65BBF"/>
    <w:rsid w:val="00F97436"/>
    <w:rsid w:val="00FC4DB4"/>
    <w:rsid w:val="00FC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88B87"/>
  <w15:chartTrackingRefBased/>
  <w15:docId w15:val="{3AC58A64-7346-0B44-98DC-70C943F8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40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08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F27F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D00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0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00B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336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F3A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3A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3A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A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A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3055"/>
  </w:style>
  <w:style w:type="paragraph" w:styleId="Header">
    <w:name w:val="header"/>
    <w:basedOn w:val="Normal"/>
    <w:link w:val="HeaderChar"/>
    <w:uiPriority w:val="99"/>
    <w:unhideWhenUsed/>
    <w:rsid w:val="00E712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2C7"/>
  </w:style>
  <w:style w:type="paragraph" w:styleId="Footer">
    <w:name w:val="footer"/>
    <w:basedOn w:val="Normal"/>
    <w:link w:val="FooterChar"/>
    <w:uiPriority w:val="99"/>
    <w:unhideWhenUsed/>
    <w:rsid w:val="00E712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2C7"/>
  </w:style>
  <w:style w:type="character" w:styleId="Hyperlink">
    <w:name w:val="Hyperlink"/>
    <w:basedOn w:val="DefaultParagraphFont"/>
    <w:uiPriority w:val="99"/>
    <w:unhideWhenUsed/>
    <w:rsid w:val="007A1DC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1DC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18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0C60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054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054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E054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95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0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orldoceanreview.com/en/wor-2/fisheries/illegal-fishing/" TargetMode="External"/><Relationship Id="rId2" Type="http://schemas.openxmlformats.org/officeDocument/2006/relationships/hyperlink" Target="https://doi.org/10.1111/conl.12295" TargetMode="External"/><Relationship Id="rId1" Type="http://schemas.openxmlformats.org/officeDocument/2006/relationships/hyperlink" Target="http://www.fao.org/state-of-fisheries-aquaculture" TargetMode="External"/><Relationship Id="rId4" Type="http://schemas.openxmlformats.org/officeDocument/2006/relationships/hyperlink" Target="https://doi.org/10.1111/conl.122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A630FF1B9FF4EB7EEE33A0BD2F49F" ma:contentTypeVersion="13" ma:contentTypeDescription="Create a new document." ma:contentTypeScope="" ma:versionID="06d55e429356b9d72b0a6d49a3f45de4">
  <xsd:schema xmlns:xsd="http://www.w3.org/2001/XMLSchema" xmlns:xs="http://www.w3.org/2001/XMLSchema" xmlns:p="http://schemas.microsoft.com/office/2006/metadata/properties" xmlns:ns3="905ee87d-627e-4a07-86f1-69d9fbc1cecd" xmlns:ns4="77fb00a0-fb79-4866-91b6-74d5acf47634" targetNamespace="http://schemas.microsoft.com/office/2006/metadata/properties" ma:root="true" ma:fieldsID="3c4c594bd8e1b15271461d21b5fd48b7" ns3:_="" ns4:_="">
    <xsd:import namespace="905ee87d-627e-4a07-86f1-69d9fbc1cecd"/>
    <xsd:import namespace="77fb00a0-fb79-4866-91b6-74d5acf476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ee87d-627e-4a07-86f1-69d9fbc1c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b00a0-fb79-4866-91b6-74d5acf47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Placeholder1</b:Tag>
    <b:SourceType>Book</b:SourceType>
    <b:Guid>{5888F3C7-0EE9-3647-A6F8-B4841DACCFA0}</b:Guid>
    <b:RefOrder>1</b:RefOrder>
  </b:Source>
</b:Sources>
</file>

<file path=customXml/itemProps1.xml><?xml version="1.0" encoding="utf-8"?>
<ds:datastoreItem xmlns:ds="http://schemas.openxmlformats.org/officeDocument/2006/customXml" ds:itemID="{74406A6D-E036-4CFE-B525-0146374F17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628AE3-9CB3-442E-B8B3-5CA9D84CD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ee87d-627e-4a07-86f1-69d9fbc1cecd"/>
    <ds:schemaRef ds:uri="77fb00a0-fb79-4866-91b6-74d5acf47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CB3B4-B36D-447F-979E-748FEBF364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FCFB48-9EF7-4E92-8A14-4CF97A8E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TNC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Krueger</dc:creator>
  <cp:keywords/>
  <dc:description/>
  <cp:lastModifiedBy>Linda Krueger</cp:lastModifiedBy>
  <cp:revision>32</cp:revision>
  <dcterms:created xsi:type="dcterms:W3CDTF">2020-10-20T17:53:00Z</dcterms:created>
  <dcterms:modified xsi:type="dcterms:W3CDTF">2020-10-20T19:43:00Z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0x010100C30A630FF1B9FF4EB7EEE33A0BD2F49F</vt:lpwstr>
  </property>
</Properties>
</file>